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E8" w:rsidRDefault="00452CE8" w:rsidP="00452C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CLS412 </w:t>
      </w:r>
      <w:r w:rsidRPr="00EB6937">
        <w:rPr>
          <w:sz w:val="28"/>
          <w:szCs w:val="28"/>
        </w:rPr>
        <w:t xml:space="preserve">Week 1 </w:t>
      </w:r>
      <w:r>
        <w:rPr>
          <w:sz w:val="28"/>
          <w:szCs w:val="28"/>
        </w:rPr>
        <w:t>Lab</w:t>
      </w:r>
    </w:p>
    <w:p w:rsidR="00B95B5D" w:rsidRPr="00452CE8" w:rsidRDefault="00B95B5D" w:rsidP="00EE4B40">
      <w:pPr>
        <w:spacing w:after="0" w:line="240" w:lineRule="auto"/>
        <w:jc w:val="center"/>
        <w:rPr>
          <w:rFonts w:cs="Times New Roman"/>
          <w:b/>
        </w:rPr>
      </w:pPr>
      <w:r w:rsidRPr="00452CE8">
        <w:rPr>
          <w:rFonts w:cs="Times New Roman"/>
          <w:b/>
        </w:rPr>
        <w:t>Creatinine</w:t>
      </w:r>
      <w:r w:rsidR="00EE4B40" w:rsidRPr="00452CE8">
        <w:rPr>
          <w:rFonts w:cs="Times New Roman"/>
          <w:b/>
        </w:rPr>
        <w:t xml:space="preserve"> and Urinalysis</w:t>
      </w:r>
    </w:p>
    <w:p w:rsidR="00B95B5D" w:rsidRPr="00452CE8" w:rsidRDefault="00B95B5D" w:rsidP="00D245B8">
      <w:pPr>
        <w:contextualSpacing/>
        <w:rPr>
          <w:rFonts w:cs="Times New Roman"/>
        </w:rPr>
      </w:pPr>
    </w:p>
    <w:p w:rsidR="00B95B5D" w:rsidRPr="00EF415D" w:rsidRDefault="00B95B5D" w:rsidP="00EF415D">
      <w:pPr>
        <w:pStyle w:val="ListParagraph"/>
        <w:numPr>
          <w:ilvl w:val="0"/>
          <w:numId w:val="17"/>
        </w:numPr>
        <w:rPr>
          <w:rFonts w:cs="Times New Roman"/>
          <w:b/>
        </w:rPr>
      </w:pPr>
      <w:r w:rsidRPr="00EF415D">
        <w:rPr>
          <w:rFonts w:cs="Times New Roman"/>
          <w:b/>
        </w:rPr>
        <w:t>Creatinine</w:t>
      </w:r>
      <w:r w:rsidR="00DB6FB4" w:rsidRPr="00EF415D">
        <w:rPr>
          <w:rFonts w:cs="Times New Roman"/>
          <w:b/>
        </w:rPr>
        <w:t>—</w:t>
      </w:r>
      <w:r w:rsidRPr="00EF415D">
        <w:rPr>
          <w:rFonts w:cs="Times New Roman"/>
          <w:b/>
        </w:rPr>
        <w:t>Pointe Scientific</w:t>
      </w:r>
    </w:p>
    <w:p w:rsidR="00DB6FB4" w:rsidRPr="00390B40" w:rsidRDefault="00B95B5D" w:rsidP="00B95B5D">
      <w:pPr>
        <w:rPr>
          <w:rFonts w:cs="Times New Roman"/>
          <w:b/>
        </w:rPr>
      </w:pPr>
      <w:r w:rsidRPr="00390B40">
        <w:rPr>
          <w:rFonts w:cs="Times New Roman"/>
          <w:b/>
        </w:rPr>
        <w:t>Summary and Principle</w:t>
      </w:r>
    </w:p>
    <w:p w:rsidR="00B95B5D" w:rsidRPr="00452CE8" w:rsidRDefault="00B95B5D" w:rsidP="00B95B5D">
      <w:pPr>
        <w:rPr>
          <w:rFonts w:cs="Times New Roman"/>
        </w:rPr>
      </w:pPr>
      <w:r w:rsidRPr="00452CE8">
        <w:rPr>
          <w:rFonts w:cs="Times New Roman"/>
        </w:rPr>
        <w:t xml:space="preserve">Early application of the </w:t>
      </w:r>
      <w:r w:rsidRPr="00390B40">
        <w:rPr>
          <w:rFonts w:cs="Times New Roman"/>
        </w:rPr>
        <w:t>Jaffe reaction</w:t>
      </w:r>
      <w:r w:rsidRPr="00452CE8">
        <w:rPr>
          <w:rFonts w:cs="Times New Roman"/>
        </w:rPr>
        <w:t xml:space="preserve"> for the determination of creatinine in blood was reported in 1912.</w:t>
      </w:r>
      <w:r w:rsidR="00DB6FB4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 xml:space="preserve">This classical reaction produces </w:t>
      </w:r>
      <w:r w:rsidRPr="00390B40">
        <w:rPr>
          <w:rFonts w:cs="Times New Roman"/>
        </w:rPr>
        <w:t xml:space="preserve">a red </w:t>
      </w:r>
      <w:r w:rsidRPr="00452CE8">
        <w:rPr>
          <w:rFonts w:cs="Times New Roman"/>
        </w:rPr>
        <w:t>tautomer of alkaline creatinine picrate following treatment of a protein-free filtrate with pic</w:t>
      </w:r>
      <w:r w:rsidR="00DB6FB4" w:rsidRPr="00452CE8">
        <w:rPr>
          <w:rFonts w:cs="Times New Roman"/>
        </w:rPr>
        <w:t xml:space="preserve">ric acid and sodium hydroxide. </w:t>
      </w:r>
      <w:r w:rsidRPr="00452CE8">
        <w:rPr>
          <w:rFonts w:cs="Times New Roman"/>
        </w:rPr>
        <w:t>Attempts to improve specificity includ</w:t>
      </w:r>
      <w:r w:rsidR="00DB6FB4" w:rsidRPr="00452CE8">
        <w:rPr>
          <w:rFonts w:cs="Times New Roman"/>
        </w:rPr>
        <w:t xml:space="preserve">ed the use of Lloyd’s reagent. </w:t>
      </w:r>
      <w:r w:rsidRPr="00452CE8">
        <w:rPr>
          <w:rFonts w:cs="Times New Roman"/>
        </w:rPr>
        <w:t>This ag</w:t>
      </w:r>
      <w:r w:rsidR="00390B40">
        <w:rPr>
          <w:rFonts w:cs="Times New Roman"/>
        </w:rPr>
        <w:t xml:space="preserve">ent absorbs creatinine from </w:t>
      </w:r>
      <w:proofErr w:type="spellStart"/>
      <w:r w:rsidR="00390B40">
        <w:rPr>
          <w:rFonts w:cs="Times New Roman"/>
        </w:rPr>
        <w:t>non</w:t>
      </w:r>
      <w:r w:rsidRPr="00452CE8">
        <w:rPr>
          <w:rFonts w:cs="Times New Roman"/>
        </w:rPr>
        <w:t>creatinine</w:t>
      </w:r>
      <w:proofErr w:type="spellEnd"/>
      <w:r w:rsidRPr="00452CE8">
        <w:rPr>
          <w:rFonts w:cs="Times New Roman"/>
        </w:rPr>
        <w:t xml:space="preserve"> color-producing compounds in the protein-free solution, followed by its elution into alkali and </w:t>
      </w:r>
      <w:r w:rsidR="00DB6FB4" w:rsidRPr="00452CE8">
        <w:rPr>
          <w:rFonts w:cs="Times New Roman"/>
        </w:rPr>
        <w:t xml:space="preserve">colorimetric Jaffe-type assay. </w:t>
      </w:r>
      <w:r w:rsidRPr="00452CE8">
        <w:rPr>
          <w:rFonts w:cs="Times New Roman"/>
        </w:rPr>
        <w:t xml:space="preserve">The method used here employs an excess of </w:t>
      </w:r>
      <w:r w:rsidRPr="00390B40">
        <w:rPr>
          <w:rFonts w:cs="Times New Roman"/>
        </w:rPr>
        <w:t>picric acid</w:t>
      </w:r>
      <w:r w:rsidRPr="00452CE8">
        <w:rPr>
          <w:rFonts w:cs="Times New Roman"/>
        </w:rPr>
        <w:t xml:space="preserve"> for </w:t>
      </w:r>
      <w:proofErr w:type="spellStart"/>
      <w:r w:rsidRPr="00452CE8">
        <w:rPr>
          <w:rFonts w:cs="Times New Roman"/>
        </w:rPr>
        <w:t>deproteinization</w:t>
      </w:r>
      <w:proofErr w:type="spellEnd"/>
      <w:r w:rsidRPr="00452CE8">
        <w:rPr>
          <w:rFonts w:cs="Times New Roman"/>
        </w:rPr>
        <w:t>, as well as for developing the Jaffe c</w:t>
      </w:r>
      <w:r w:rsidR="00DB6FB4" w:rsidRPr="00452CE8">
        <w:rPr>
          <w:rFonts w:cs="Times New Roman"/>
        </w:rPr>
        <w:t>hromogen on addition of alkali.</w:t>
      </w:r>
      <w:r w:rsidRPr="00452CE8">
        <w:rPr>
          <w:rFonts w:cs="Times New Roman"/>
        </w:rPr>
        <w:t xml:space="preserve"> This technique avoids preparation of the conventional tungstic acid protein-free filtrate or supernatant. Kinetic procedures are fast, simple</w:t>
      </w:r>
      <w:r w:rsidR="00DB6FB4" w:rsidRPr="00452CE8">
        <w:rPr>
          <w:rFonts w:cs="Times New Roman"/>
        </w:rPr>
        <w:t>,</w:t>
      </w:r>
      <w:r w:rsidRPr="00452CE8">
        <w:rPr>
          <w:rFonts w:cs="Times New Roman"/>
        </w:rPr>
        <w:t xml:space="preserve"> and avoid interference from proteins and carbohydrates. </w:t>
      </w:r>
    </w:p>
    <w:p w:rsidR="00B95B5D" w:rsidRPr="00452CE8" w:rsidRDefault="00B95B5D" w:rsidP="00B95B5D">
      <w:pPr>
        <w:rPr>
          <w:rFonts w:cs="Times New Roman"/>
        </w:rPr>
      </w:pPr>
      <w:r w:rsidRPr="00390B40">
        <w:rPr>
          <w:rFonts w:cs="Times New Roman"/>
        </w:rPr>
        <w:t>Creatinine, in a picric acid protein-free solution, reacts with added alkali to form a reddish-brown complex,</w:t>
      </w:r>
      <w:r w:rsidRPr="00452CE8">
        <w:rPr>
          <w:rFonts w:cs="Times New Roman"/>
        </w:rPr>
        <w:t xml:space="preserve"> the actual formula of which is </w:t>
      </w:r>
      <w:r w:rsidR="009976E6" w:rsidRPr="00452CE8">
        <w:rPr>
          <w:rFonts w:cs="Times New Roman"/>
        </w:rPr>
        <w:t xml:space="preserve">not established. </w:t>
      </w:r>
      <w:r w:rsidRPr="00452CE8">
        <w:rPr>
          <w:rFonts w:cs="Times New Roman"/>
        </w:rPr>
        <w:t>The absorbance of this compound at 510 nm is proportional to creatinine concentration.</w:t>
      </w:r>
    </w:p>
    <w:p w:rsidR="00B95B5D" w:rsidRPr="00452CE8" w:rsidRDefault="00B95B5D" w:rsidP="00B95B5D">
      <w:pPr>
        <w:rPr>
          <w:rFonts w:cs="Times New Roman"/>
        </w:rPr>
      </w:pPr>
      <w:r w:rsidRPr="00452CE8">
        <w:rPr>
          <w:rFonts w:cs="Times New Roman"/>
        </w:rPr>
        <w:t>Creatinine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+</w:t>
      </w:r>
      <w:r w:rsidR="009976E6" w:rsidRPr="00452CE8">
        <w:rPr>
          <w:rFonts w:cs="Times New Roman"/>
        </w:rPr>
        <w:t xml:space="preserve"> </w:t>
      </w:r>
      <w:r w:rsidR="00390B40">
        <w:rPr>
          <w:rFonts w:cs="Times New Roman"/>
        </w:rPr>
        <w:t xml:space="preserve">sodium picrate </w:t>
      </w:r>
      <w:r w:rsidRPr="00452CE8">
        <w:rPr>
          <w:rFonts w:cs="Times New Roman"/>
        </w:rPr>
        <w:sym w:font="Wingdings" w:char="F0E0"/>
      </w:r>
      <w:r w:rsidR="009976E6" w:rsidRPr="00452CE8">
        <w:rPr>
          <w:rFonts w:cs="Times New Roman"/>
        </w:rPr>
        <w:t xml:space="preserve"> </w:t>
      </w:r>
      <w:r w:rsidR="00390B40">
        <w:rPr>
          <w:rFonts w:cs="Times New Roman"/>
        </w:rPr>
        <w:t xml:space="preserve">alkali </w:t>
      </w:r>
      <w:r w:rsidRPr="00390B40">
        <w:rPr>
          <w:rFonts w:cs="Times New Roman"/>
        </w:rPr>
        <w:sym w:font="Wingdings" w:char="F0E0"/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creatinine-picrate complex (</w:t>
      </w:r>
      <w:r w:rsidRPr="00390B40">
        <w:rPr>
          <w:rFonts w:cs="Times New Roman"/>
        </w:rPr>
        <w:t>yellow-orange)</w:t>
      </w:r>
    </w:p>
    <w:p w:rsidR="00B95B5D" w:rsidRDefault="00B95B5D" w:rsidP="005A2FD5">
      <w:pPr>
        <w:spacing w:after="0" w:line="240" w:lineRule="auto"/>
        <w:rPr>
          <w:rFonts w:cs="Times New Roman"/>
          <w:b/>
        </w:rPr>
      </w:pPr>
      <w:r w:rsidRPr="00390B40">
        <w:rPr>
          <w:rFonts w:cs="Times New Roman"/>
          <w:b/>
        </w:rPr>
        <w:t>Procedure</w:t>
      </w:r>
      <w:r w:rsidR="005A2FD5" w:rsidRPr="00390B40">
        <w:rPr>
          <w:rFonts w:cs="Times New Roman"/>
          <w:b/>
        </w:rPr>
        <w:t>:</w:t>
      </w:r>
    </w:p>
    <w:p w:rsidR="00EF415D" w:rsidRPr="00390B40" w:rsidRDefault="00EF415D" w:rsidP="005A2FD5">
      <w:pPr>
        <w:spacing w:after="0" w:line="240" w:lineRule="auto"/>
        <w:rPr>
          <w:rFonts w:cs="Times New Roman"/>
          <w:b/>
        </w:rPr>
      </w:pPr>
    </w:p>
    <w:p w:rsidR="00B95B5D" w:rsidRPr="00452CE8" w:rsidRDefault="00861811" w:rsidP="005A2FD5">
      <w:pPr>
        <w:numPr>
          <w:ilvl w:val="0"/>
          <w:numId w:val="5"/>
        </w:numPr>
        <w:spacing w:after="0" w:line="240" w:lineRule="auto"/>
        <w:contextualSpacing/>
        <w:rPr>
          <w:rFonts w:cs="Times New Roman"/>
        </w:rPr>
      </w:pPr>
      <w:r w:rsidRPr="00452CE8">
        <w:rPr>
          <w:rFonts w:cs="Times New Roman"/>
        </w:rPr>
        <w:t xml:space="preserve">Obtain the </w:t>
      </w:r>
      <w:r w:rsidR="00B95B5D" w:rsidRPr="00452CE8">
        <w:rPr>
          <w:rFonts w:cs="Times New Roman"/>
        </w:rPr>
        <w:t>working r</w:t>
      </w:r>
      <w:r w:rsidRPr="00452CE8">
        <w:rPr>
          <w:rFonts w:cs="Times New Roman"/>
        </w:rPr>
        <w:t>eagent from the instructor</w:t>
      </w:r>
      <w:r w:rsidR="00B95B5D" w:rsidRPr="00452CE8">
        <w:rPr>
          <w:rFonts w:cs="Times New Roman"/>
        </w:rPr>
        <w:t xml:space="preserve">. </w:t>
      </w:r>
    </w:p>
    <w:p w:rsidR="00EE4B40" w:rsidRPr="00452CE8" w:rsidRDefault="00EE4B40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Label a tu</w:t>
      </w:r>
      <w:r w:rsidR="00390B40">
        <w:rPr>
          <w:rFonts w:cs="Times New Roman"/>
        </w:rPr>
        <w:t>be for each of the following:  Blank, Standard, Level 1 QC, Level 2 QC</w:t>
      </w:r>
      <w:r w:rsidRPr="00452CE8">
        <w:rPr>
          <w:rFonts w:cs="Times New Roman"/>
        </w:rPr>
        <w:t>, and one tube for each patient you will be testing</w:t>
      </w:r>
      <w:r w:rsidR="004954B5">
        <w:rPr>
          <w:rFonts w:cs="Times New Roman"/>
        </w:rPr>
        <w:t xml:space="preserve">. 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Pipette 3.0 mL of working reagent into each tube.</w:t>
      </w:r>
    </w:p>
    <w:p w:rsidR="00EE4B40" w:rsidRPr="00452CE8" w:rsidRDefault="00390B40" w:rsidP="00B95B5D">
      <w:pPr>
        <w:numPr>
          <w:ilvl w:val="0"/>
          <w:numId w:val="5"/>
        </w:numPr>
        <w:contextualSpacing/>
        <w:rPr>
          <w:rFonts w:cs="Times New Roman"/>
        </w:rPr>
      </w:pPr>
      <w:r>
        <w:rPr>
          <w:rFonts w:cs="Times New Roman"/>
        </w:rPr>
        <w:t>To the tube labelled Blank</w:t>
      </w:r>
      <w:r w:rsidR="00EE4B40" w:rsidRPr="00452CE8">
        <w:rPr>
          <w:rFonts w:cs="Times New Roman"/>
        </w:rPr>
        <w:t>, a</w:t>
      </w:r>
      <w:r>
        <w:rPr>
          <w:rFonts w:cs="Times New Roman"/>
        </w:rPr>
        <w:t xml:space="preserve">dd 200 </w:t>
      </w:r>
      <w:proofErr w:type="spellStart"/>
      <w:r>
        <w:rPr>
          <w:rFonts w:cs="Times New Roman"/>
        </w:rPr>
        <w:t>uL</w:t>
      </w:r>
      <w:proofErr w:type="spellEnd"/>
      <w:r>
        <w:rPr>
          <w:rFonts w:cs="Times New Roman"/>
        </w:rPr>
        <w:t xml:space="preserve"> of distilled water. </w:t>
      </w:r>
      <w:r w:rsidR="00EE4B40" w:rsidRPr="00452CE8">
        <w:rPr>
          <w:rFonts w:cs="Times New Roman"/>
        </w:rPr>
        <w:t>This completes the blank</w:t>
      </w:r>
      <w:r w:rsidR="004954B5">
        <w:rPr>
          <w:rFonts w:cs="Times New Roman"/>
        </w:rPr>
        <w:t xml:space="preserve">. 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Zero spectrophotometer with blank at 510</w:t>
      </w:r>
      <w:r w:rsidR="00390B40">
        <w:rPr>
          <w:rFonts w:cs="Times New Roman"/>
        </w:rPr>
        <w:t xml:space="preserve"> </w:t>
      </w:r>
      <w:r w:rsidRPr="00452CE8">
        <w:rPr>
          <w:rFonts w:cs="Times New Roman"/>
        </w:rPr>
        <w:t>nm (</w:t>
      </w:r>
      <w:r w:rsidR="009976E6" w:rsidRPr="00452CE8">
        <w:rPr>
          <w:rFonts w:cs="Times New Roman"/>
        </w:rPr>
        <w:t>w</w:t>
      </w:r>
      <w:r w:rsidRPr="00452CE8">
        <w:rPr>
          <w:rFonts w:cs="Times New Roman"/>
        </w:rPr>
        <w:t>orking reagent).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  <w:u w:val="single"/>
        </w:rPr>
      </w:pPr>
      <w:r w:rsidRPr="00452CE8">
        <w:rPr>
          <w:rFonts w:cs="Times New Roman"/>
        </w:rPr>
        <w:t>Add 200</w:t>
      </w:r>
      <w:r w:rsidR="009976E6" w:rsidRPr="00452CE8">
        <w:rPr>
          <w:rFonts w:cs="Times New Roman"/>
        </w:rPr>
        <w:t xml:space="preserve"> </w:t>
      </w:r>
      <w:proofErr w:type="spellStart"/>
      <w:r w:rsidR="00AC041B" w:rsidRPr="00452CE8">
        <w:rPr>
          <w:rFonts w:cs="Times New Roman"/>
        </w:rPr>
        <w:t>uL</w:t>
      </w:r>
      <w:proofErr w:type="spellEnd"/>
      <w:r w:rsidR="00AC041B" w:rsidRPr="00452CE8">
        <w:rPr>
          <w:rFonts w:cs="Times New Roman"/>
        </w:rPr>
        <w:t xml:space="preserve"> of the L</w:t>
      </w:r>
      <w:r w:rsidR="00390B40">
        <w:rPr>
          <w:rFonts w:cs="Times New Roman"/>
        </w:rPr>
        <w:t xml:space="preserve">evel 1 QC to the tube labelled </w:t>
      </w:r>
      <w:r w:rsidR="00AC041B" w:rsidRPr="00452CE8">
        <w:rPr>
          <w:rFonts w:cs="Times New Roman"/>
        </w:rPr>
        <w:t>Level 1 QC</w:t>
      </w:r>
      <w:r w:rsidR="004954B5">
        <w:rPr>
          <w:rFonts w:cs="Times New Roman"/>
        </w:rPr>
        <w:t xml:space="preserve">. 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Mix</w:t>
      </w:r>
      <w:r w:rsidR="00390B40">
        <w:rPr>
          <w:rFonts w:cs="Times New Roman"/>
        </w:rPr>
        <w:t>,</w:t>
      </w:r>
      <w:r w:rsidRPr="00452CE8">
        <w:rPr>
          <w:rFonts w:cs="Times New Roman"/>
        </w:rPr>
        <w:t xml:space="preserve"> and immediately place into cuvette.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After exactly 60 seconds</w:t>
      </w:r>
      <w:r w:rsidR="009976E6" w:rsidRPr="00452CE8">
        <w:rPr>
          <w:rFonts w:cs="Times New Roman"/>
        </w:rPr>
        <w:t>,</w:t>
      </w:r>
      <w:r w:rsidRPr="00452CE8">
        <w:rPr>
          <w:rFonts w:cs="Times New Roman"/>
        </w:rPr>
        <w:t xml:space="preserve"> read and record the absorbance (A1).</w:t>
      </w:r>
    </w:p>
    <w:p w:rsidR="00B95B5D" w:rsidRPr="00452CE8" w:rsidRDefault="00B95B5D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At exactly 60 seconds after the A1 reading, again read and record the absorbance (A2).</w:t>
      </w:r>
    </w:p>
    <w:p w:rsidR="00D33C51" w:rsidRPr="00452CE8" w:rsidRDefault="00D33C51" w:rsidP="00B95B5D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Repeat Steps 6 throu</w:t>
      </w:r>
      <w:r w:rsidR="00390B40">
        <w:rPr>
          <w:rFonts w:cs="Times New Roman"/>
        </w:rPr>
        <w:t xml:space="preserve">gh 9 for each of the samples. In Step </w:t>
      </w:r>
      <w:r w:rsidRPr="00452CE8">
        <w:rPr>
          <w:rFonts w:cs="Times New Roman"/>
        </w:rPr>
        <w:t>6, be sure to add the appropr</w:t>
      </w:r>
      <w:r w:rsidR="00390B40">
        <w:rPr>
          <w:rFonts w:cs="Times New Roman"/>
        </w:rPr>
        <w:t>iate specimen to each tube (i</w:t>
      </w:r>
      <w:r w:rsidRPr="00452CE8">
        <w:rPr>
          <w:rFonts w:cs="Times New Roman"/>
        </w:rPr>
        <w:t>.e.</w:t>
      </w:r>
      <w:r w:rsidR="00390B40">
        <w:rPr>
          <w:rFonts w:cs="Times New Roman"/>
        </w:rPr>
        <w:t xml:space="preserve">, to the tube labeled Level 2 QC, </w:t>
      </w:r>
      <w:r w:rsidRPr="00452CE8">
        <w:rPr>
          <w:rFonts w:cs="Times New Roman"/>
        </w:rPr>
        <w:t xml:space="preserve">add 200 </w:t>
      </w:r>
      <w:proofErr w:type="spellStart"/>
      <w:r w:rsidRPr="00452CE8">
        <w:rPr>
          <w:rFonts w:cs="Times New Roman"/>
        </w:rPr>
        <w:t>uL</w:t>
      </w:r>
      <w:proofErr w:type="spellEnd"/>
      <w:r w:rsidRPr="00452CE8">
        <w:rPr>
          <w:rFonts w:cs="Times New Roman"/>
        </w:rPr>
        <w:t xml:space="preserve"> of Level 2 QC, etc.</w:t>
      </w:r>
      <w:proofErr w:type="gramStart"/>
      <w:r w:rsidRPr="00452CE8">
        <w:rPr>
          <w:rFonts w:cs="Times New Roman"/>
        </w:rPr>
        <w:t xml:space="preserve">) </w:t>
      </w:r>
      <w:r w:rsidR="00390B40">
        <w:rPr>
          <w:rFonts w:cs="Times New Roman"/>
        </w:rPr>
        <w:t>.</w:t>
      </w:r>
      <w:proofErr w:type="gramEnd"/>
      <w:r w:rsidRPr="00452CE8">
        <w:rPr>
          <w:rFonts w:cs="Times New Roman"/>
        </w:rPr>
        <w:t xml:space="preserve"> </w:t>
      </w:r>
    </w:p>
    <w:p w:rsidR="009976E6" w:rsidRPr="00452CE8" w:rsidRDefault="00B95B5D" w:rsidP="009976E6">
      <w:pPr>
        <w:numPr>
          <w:ilvl w:val="0"/>
          <w:numId w:val="5"/>
        </w:numPr>
        <w:contextualSpacing/>
        <w:rPr>
          <w:rFonts w:cs="Times New Roman"/>
        </w:rPr>
      </w:pPr>
      <w:r w:rsidRPr="00452CE8">
        <w:rPr>
          <w:rFonts w:cs="Times New Roman"/>
        </w:rPr>
        <w:t>Calculate the change in absorbance by subtracting (A2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-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A1).</w:t>
      </w:r>
    </w:p>
    <w:p w:rsidR="009976E6" w:rsidRPr="00452CE8" w:rsidRDefault="009976E6" w:rsidP="009976E6">
      <w:pPr>
        <w:ind w:left="720"/>
        <w:contextualSpacing/>
        <w:rPr>
          <w:rFonts w:cs="Times New Roman"/>
        </w:rPr>
      </w:pPr>
    </w:p>
    <w:p w:rsidR="00390B40" w:rsidRDefault="00B95B5D" w:rsidP="00D33C51">
      <w:pPr>
        <w:contextualSpacing/>
        <w:rPr>
          <w:rFonts w:cs="Times New Roman"/>
        </w:rPr>
      </w:pPr>
      <w:r w:rsidRPr="00390B40">
        <w:rPr>
          <w:rFonts w:cs="Times New Roman"/>
          <w:b/>
        </w:rPr>
        <w:t>Calculations:</w:t>
      </w:r>
      <w:r w:rsidRPr="00452CE8">
        <w:rPr>
          <w:rFonts w:cs="Times New Roman"/>
        </w:rPr>
        <w:t xml:space="preserve"> </w:t>
      </w:r>
    </w:p>
    <w:p w:rsidR="00EF415D" w:rsidRDefault="00EF415D" w:rsidP="00D33C51">
      <w:pPr>
        <w:contextualSpacing/>
        <w:rPr>
          <w:rFonts w:cs="Times New Roman"/>
        </w:rPr>
      </w:pPr>
    </w:p>
    <w:p w:rsidR="00D33C51" w:rsidRPr="00452CE8" w:rsidRDefault="00B95B5D" w:rsidP="00D33C51">
      <w:pPr>
        <w:contextualSpacing/>
        <w:rPr>
          <w:rFonts w:cs="Times New Roman"/>
        </w:rPr>
      </w:pPr>
      <w:proofErr w:type="gramStart"/>
      <w:r w:rsidRPr="00452CE8">
        <w:rPr>
          <w:rFonts w:cs="Times New Roman"/>
        </w:rPr>
        <w:t>mg/</w:t>
      </w:r>
      <w:proofErr w:type="spellStart"/>
      <w:r w:rsidRPr="00452CE8">
        <w:rPr>
          <w:rFonts w:cs="Times New Roman"/>
        </w:rPr>
        <w:t>dL</w:t>
      </w:r>
      <w:proofErr w:type="spellEnd"/>
      <w:proofErr w:type="gramEnd"/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= (A2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-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A1) unknown</w:t>
      </w:r>
      <w:r w:rsidR="009976E6" w:rsidRPr="00452CE8">
        <w:rPr>
          <w:rFonts w:cs="Times New Roman"/>
        </w:rPr>
        <w:t xml:space="preserve"> ÷ </w:t>
      </w:r>
      <w:r w:rsidRPr="00452CE8">
        <w:rPr>
          <w:rFonts w:cs="Times New Roman"/>
        </w:rPr>
        <w:t>(A2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>-</w:t>
      </w:r>
      <w:r w:rsidR="009976E6" w:rsidRPr="00452CE8">
        <w:rPr>
          <w:rFonts w:cs="Times New Roman"/>
        </w:rPr>
        <w:t xml:space="preserve"> </w:t>
      </w:r>
      <w:r w:rsidRPr="00452CE8">
        <w:rPr>
          <w:rFonts w:cs="Times New Roman"/>
        </w:rPr>
        <w:t xml:space="preserve">A1) standard </w:t>
      </w:r>
      <w:r w:rsidR="009976E6" w:rsidRPr="00452CE8">
        <w:rPr>
          <w:rFonts w:cs="Times New Roman"/>
        </w:rPr>
        <w:t>×</w:t>
      </w:r>
      <w:r w:rsidRPr="00452CE8">
        <w:rPr>
          <w:rFonts w:cs="Times New Roman"/>
        </w:rPr>
        <w:t xml:space="preserve"> concentration of standard (mg/</w:t>
      </w:r>
      <w:proofErr w:type="spellStart"/>
      <w:r w:rsidRPr="00452CE8">
        <w:rPr>
          <w:rFonts w:cs="Times New Roman"/>
        </w:rPr>
        <w:t>dL</w:t>
      </w:r>
      <w:proofErr w:type="spellEnd"/>
      <w:r w:rsidRPr="00452CE8">
        <w:rPr>
          <w:rFonts w:cs="Times New Roman"/>
        </w:rPr>
        <w:t>)</w:t>
      </w:r>
    </w:p>
    <w:p w:rsidR="00B95B5D" w:rsidRPr="00452CE8" w:rsidRDefault="00B95B5D" w:rsidP="00D33C51">
      <w:pPr>
        <w:contextualSpacing/>
        <w:rPr>
          <w:rFonts w:cs="Times New Roman"/>
        </w:rPr>
      </w:pPr>
      <w:r w:rsidRPr="00452CE8">
        <w:rPr>
          <w:rFonts w:cs="Times New Roman"/>
        </w:rPr>
        <w:lastRenderedPageBreak/>
        <w:t xml:space="preserve">             </w:t>
      </w:r>
    </w:p>
    <w:p w:rsidR="00B95B5D" w:rsidRPr="00390B40" w:rsidRDefault="00B95B5D" w:rsidP="00D33C51">
      <w:pPr>
        <w:spacing w:after="0"/>
        <w:rPr>
          <w:rFonts w:cs="Times New Roman"/>
          <w:b/>
        </w:rPr>
      </w:pPr>
      <w:r w:rsidRPr="00390B40">
        <w:rPr>
          <w:rFonts w:cs="Times New Roman"/>
          <w:b/>
        </w:rPr>
        <w:t>Limitations</w:t>
      </w:r>
      <w:r w:rsidR="005A2FD5" w:rsidRPr="00390B40">
        <w:rPr>
          <w:rFonts w:cs="Times New Roman"/>
          <w:b/>
        </w:rPr>
        <w:t>:</w:t>
      </w:r>
    </w:p>
    <w:p w:rsidR="00B95B5D" w:rsidRPr="00452CE8" w:rsidRDefault="00984BFF" w:rsidP="00D33C51">
      <w:pPr>
        <w:spacing w:after="0"/>
        <w:rPr>
          <w:rFonts w:cs="Times New Roman"/>
        </w:rPr>
      </w:pPr>
      <w:r w:rsidRPr="00452CE8">
        <w:rPr>
          <w:rFonts w:cs="Times New Roman"/>
        </w:rPr>
        <w:t xml:space="preserve">Procedure linearity: </w:t>
      </w:r>
      <w:r w:rsidR="00B95B5D" w:rsidRPr="00452CE8">
        <w:rPr>
          <w:rFonts w:cs="Times New Roman"/>
        </w:rPr>
        <w:t>0</w:t>
      </w:r>
      <w:r w:rsidR="009976E6" w:rsidRPr="00452CE8">
        <w:rPr>
          <w:rFonts w:cs="Times New Roman"/>
        </w:rPr>
        <w:t>–</w:t>
      </w:r>
      <w:r w:rsidR="00B95B5D" w:rsidRPr="00452CE8">
        <w:rPr>
          <w:rFonts w:cs="Times New Roman"/>
        </w:rPr>
        <w:t>25 mg/</w:t>
      </w:r>
      <w:proofErr w:type="spellStart"/>
      <w:r w:rsidR="00B95B5D" w:rsidRPr="00452CE8">
        <w:rPr>
          <w:rFonts w:cs="Times New Roman"/>
        </w:rPr>
        <w:t>dL</w:t>
      </w:r>
      <w:proofErr w:type="spellEnd"/>
      <w:r w:rsidR="00B95B5D" w:rsidRPr="00452CE8">
        <w:rPr>
          <w:rFonts w:cs="Times New Roman"/>
        </w:rPr>
        <w:t>.</w:t>
      </w:r>
    </w:p>
    <w:p w:rsidR="00D33C51" w:rsidRPr="00452CE8" w:rsidRDefault="00D33C51" w:rsidP="00D33C51">
      <w:pPr>
        <w:spacing w:after="0"/>
        <w:rPr>
          <w:rFonts w:cs="Times New Roman"/>
        </w:rPr>
      </w:pPr>
    </w:p>
    <w:p w:rsidR="00390B40" w:rsidRDefault="00B95B5D" w:rsidP="00D33C51">
      <w:pPr>
        <w:spacing w:after="0"/>
        <w:rPr>
          <w:rFonts w:cs="Times New Roman"/>
        </w:rPr>
      </w:pPr>
      <w:r w:rsidRPr="00390B40">
        <w:rPr>
          <w:rFonts w:cs="Times New Roman"/>
          <w:b/>
        </w:rPr>
        <w:t>Normal Reference</w:t>
      </w:r>
      <w:r w:rsidR="009976E6" w:rsidRPr="00452CE8">
        <w:rPr>
          <w:rFonts w:cs="Times New Roman"/>
        </w:rPr>
        <w:t>:</w:t>
      </w:r>
      <w:r w:rsidRPr="00452CE8">
        <w:rPr>
          <w:rFonts w:cs="Times New Roman"/>
        </w:rPr>
        <w:t xml:space="preserve"> </w:t>
      </w:r>
    </w:p>
    <w:p w:rsidR="00EF415D" w:rsidRDefault="00EF415D" w:rsidP="00D33C51">
      <w:pPr>
        <w:spacing w:after="0"/>
        <w:rPr>
          <w:rFonts w:cs="Times New Roman"/>
        </w:rPr>
      </w:pPr>
    </w:p>
    <w:p w:rsidR="00D33C51" w:rsidRPr="00452CE8" w:rsidRDefault="00984BFF" w:rsidP="00D33C51">
      <w:pPr>
        <w:spacing w:after="0"/>
        <w:rPr>
          <w:rFonts w:cs="Times New Roman"/>
        </w:rPr>
      </w:pPr>
      <w:r w:rsidRPr="00452CE8">
        <w:rPr>
          <w:rFonts w:cs="Times New Roman"/>
        </w:rPr>
        <w:t>0</w:t>
      </w:r>
      <w:r w:rsidR="00861811" w:rsidRPr="00452CE8">
        <w:rPr>
          <w:rFonts w:cs="Times New Roman"/>
        </w:rPr>
        <w:t>.6</w:t>
      </w:r>
      <w:r w:rsidR="00B95B5D" w:rsidRPr="00452CE8">
        <w:rPr>
          <w:rFonts w:cs="Times New Roman"/>
        </w:rPr>
        <w:t>0</w:t>
      </w:r>
      <w:r w:rsidR="009976E6" w:rsidRPr="00452CE8">
        <w:rPr>
          <w:rFonts w:cs="Times New Roman"/>
        </w:rPr>
        <w:t>–</w:t>
      </w:r>
      <w:r w:rsidR="00861811" w:rsidRPr="00452CE8">
        <w:rPr>
          <w:rFonts w:cs="Times New Roman"/>
        </w:rPr>
        <w:t>1.3</w:t>
      </w:r>
      <w:r w:rsidR="00B95B5D" w:rsidRPr="00452CE8">
        <w:rPr>
          <w:rFonts w:cs="Times New Roman"/>
        </w:rPr>
        <w:t>0 mg/</w:t>
      </w:r>
      <w:proofErr w:type="spellStart"/>
      <w:r w:rsidR="00B95B5D" w:rsidRPr="00452CE8">
        <w:rPr>
          <w:rFonts w:cs="Times New Roman"/>
        </w:rPr>
        <w:t>dL</w:t>
      </w:r>
      <w:proofErr w:type="spellEnd"/>
    </w:p>
    <w:p w:rsidR="00D33C51" w:rsidRPr="00452CE8" w:rsidRDefault="00D33C51" w:rsidP="00B95B5D">
      <w:pPr>
        <w:rPr>
          <w:rFonts w:cs="Times New Roman"/>
          <w:b/>
        </w:rPr>
      </w:pPr>
    </w:p>
    <w:p w:rsidR="005A2FD5" w:rsidRPr="00452CE8" w:rsidRDefault="005A2FD5" w:rsidP="00B95B5D">
      <w:pPr>
        <w:rPr>
          <w:rFonts w:cs="Times New Roman"/>
          <w:b/>
        </w:rPr>
      </w:pPr>
    </w:p>
    <w:p w:rsidR="00D245B8" w:rsidRPr="00452CE8" w:rsidRDefault="00D245B8" w:rsidP="00B95B5D">
      <w:pPr>
        <w:rPr>
          <w:rFonts w:cs="Times New Roman"/>
          <w:b/>
        </w:rPr>
      </w:pPr>
    </w:p>
    <w:p w:rsidR="00B95B5D" w:rsidRPr="00452CE8" w:rsidRDefault="00B95B5D" w:rsidP="00B95B5D">
      <w:pPr>
        <w:rPr>
          <w:rFonts w:cs="Times New Roman"/>
          <w:b/>
        </w:rPr>
      </w:pPr>
      <w:r w:rsidRPr="00452CE8">
        <w:rPr>
          <w:rFonts w:cs="Times New Roman"/>
          <w:b/>
        </w:rPr>
        <w:t>Creatinine Worksheet</w:t>
      </w:r>
      <w:r w:rsidR="00A32FFD" w:rsidRPr="00452CE8">
        <w:rPr>
          <w:rFonts w:cs="Times New Roman"/>
          <w:b/>
        </w:rPr>
        <w:t xml:space="preserve"> (10 points)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493"/>
        <w:gridCol w:w="1354"/>
        <w:gridCol w:w="1607"/>
        <w:gridCol w:w="1688"/>
        <w:gridCol w:w="1778"/>
      </w:tblGrid>
      <w:tr w:rsidR="00B95B5D" w:rsidRPr="00452CE8" w:rsidTr="00E15729">
        <w:tc>
          <w:tcPr>
            <w:tcW w:w="1656" w:type="dxa"/>
            <w:shd w:val="clear" w:color="auto" w:fill="D5DCE4" w:themeFill="text2" w:themeFillTint="33"/>
          </w:tcPr>
          <w:p w:rsidR="00B95B5D" w:rsidRPr="00452CE8" w:rsidRDefault="00B95B5D" w:rsidP="00EF415D">
            <w:pPr>
              <w:rPr>
                <w:rFonts w:cs="Times New Roman"/>
                <w:b/>
              </w:rPr>
            </w:pPr>
            <w:r w:rsidRPr="00452CE8">
              <w:rPr>
                <w:rFonts w:cs="Times New Roman"/>
                <w:b/>
              </w:rPr>
              <w:t>S</w:t>
            </w:r>
            <w:r w:rsidR="00EF415D">
              <w:rPr>
                <w:rFonts w:cs="Times New Roman"/>
                <w:b/>
              </w:rPr>
              <w:t>ample</w:t>
            </w:r>
          </w:p>
        </w:tc>
        <w:tc>
          <w:tcPr>
            <w:tcW w:w="1493" w:type="dxa"/>
            <w:shd w:val="clear" w:color="auto" w:fill="D5DCE4" w:themeFill="text2" w:themeFillTint="33"/>
          </w:tcPr>
          <w:p w:rsidR="00B95B5D" w:rsidRPr="00452CE8" w:rsidRDefault="00B95B5D" w:rsidP="00E15729">
            <w:pPr>
              <w:rPr>
                <w:rFonts w:cs="Times New Roman"/>
                <w:b/>
              </w:rPr>
            </w:pPr>
            <w:r w:rsidRPr="00452CE8">
              <w:rPr>
                <w:rFonts w:cs="Times New Roman"/>
                <w:b/>
              </w:rPr>
              <w:t>ABS 2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B95B5D" w:rsidRPr="00452CE8" w:rsidRDefault="00B95B5D" w:rsidP="00E15729">
            <w:pPr>
              <w:rPr>
                <w:rFonts w:cs="Times New Roman"/>
                <w:b/>
              </w:rPr>
            </w:pPr>
            <w:r w:rsidRPr="00452CE8">
              <w:rPr>
                <w:rFonts w:cs="Times New Roman"/>
                <w:b/>
              </w:rPr>
              <w:t>ABS 1</w:t>
            </w:r>
          </w:p>
        </w:tc>
        <w:tc>
          <w:tcPr>
            <w:tcW w:w="1607" w:type="dxa"/>
            <w:shd w:val="clear" w:color="auto" w:fill="D5DCE4" w:themeFill="text2" w:themeFillTint="33"/>
          </w:tcPr>
          <w:p w:rsidR="00B95B5D" w:rsidRPr="00452CE8" w:rsidRDefault="00B95B5D" w:rsidP="00EF415D">
            <w:pPr>
              <w:rPr>
                <w:rFonts w:cs="Times New Roman"/>
                <w:b/>
              </w:rPr>
            </w:pPr>
            <w:r w:rsidRPr="00452CE8">
              <w:rPr>
                <w:rFonts w:cs="Times New Roman"/>
                <w:b/>
              </w:rPr>
              <w:t>V</w:t>
            </w:r>
            <w:r w:rsidR="00EF415D">
              <w:rPr>
                <w:rFonts w:cs="Times New Roman"/>
                <w:b/>
              </w:rPr>
              <w:t>alue</w:t>
            </w:r>
          </w:p>
        </w:tc>
        <w:tc>
          <w:tcPr>
            <w:tcW w:w="1688" w:type="dxa"/>
            <w:shd w:val="clear" w:color="auto" w:fill="D5DCE4" w:themeFill="text2" w:themeFillTint="33"/>
          </w:tcPr>
          <w:p w:rsidR="00B95B5D" w:rsidRPr="00452CE8" w:rsidRDefault="00EF415D" w:rsidP="00E15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Accept?</w:t>
            </w:r>
          </w:p>
        </w:tc>
        <w:tc>
          <w:tcPr>
            <w:tcW w:w="1778" w:type="dxa"/>
            <w:shd w:val="clear" w:color="auto" w:fill="D5DCE4" w:themeFill="text2" w:themeFillTint="33"/>
          </w:tcPr>
          <w:p w:rsidR="00B95B5D" w:rsidRPr="00452CE8" w:rsidRDefault="00EF415D" w:rsidP="00E15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</w:t>
            </w: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AC041B" w:rsidP="00EF415D">
            <w:pPr>
              <w:rPr>
                <w:rFonts w:cs="Times New Roman"/>
              </w:rPr>
            </w:pPr>
            <w:r w:rsidRPr="00452CE8">
              <w:rPr>
                <w:rFonts w:cs="Times New Roman"/>
              </w:rPr>
              <w:t>S</w:t>
            </w:r>
            <w:r w:rsidR="00EF415D">
              <w:rPr>
                <w:rFonts w:cs="Times New Roman"/>
              </w:rPr>
              <w:t>tandard</w:t>
            </w: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EF415D" w:rsidP="00E15729">
            <w:pPr>
              <w:rPr>
                <w:rFonts w:cs="Times New Roman"/>
              </w:rPr>
            </w:pPr>
            <w:r>
              <w:rPr>
                <w:rFonts w:cs="Times New Roman"/>
              </w:rPr>
              <w:t>Not Applicable</w:t>
            </w:r>
          </w:p>
        </w:tc>
        <w:tc>
          <w:tcPr>
            <w:tcW w:w="1778" w:type="dxa"/>
          </w:tcPr>
          <w:p w:rsidR="00B95B5D" w:rsidRPr="00452CE8" w:rsidRDefault="00EF415D" w:rsidP="00E15729">
            <w:pPr>
              <w:rPr>
                <w:rFonts w:cs="Times New Roman"/>
              </w:rPr>
            </w:pPr>
            <w:r>
              <w:rPr>
                <w:rFonts w:cs="Times New Roman"/>
              </w:rPr>
              <w:t>Not Applicable</w:t>
            </w: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984BFF" w:rsidP="00E15729">
            <w:pPr>
              <w:rPr>
                <w:rFonts w:cs="Times New Roman"/>
              </w:rPr>
            </w:pPr>
            <w:r w:rsidRPr="00452CE8">
              <w:rPr>
                <w:rFonts w:cs="Times New Roman"/>
              </w:rPr>
              <w:t>Level 1 QC</w:t>
            </w: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984BFF" w:rsidP="00E15729">
            <w:pPr>
              <w:rPr>
                <w:rFonts w:cs="Times New Roman"/>
              </w:rPr>
            </w:pPr>
            <w:r w:rsidRPr="00452CE8">
              <w:rPr>
                <w:rFonts w:cs="Times New Roman"/>
              </w:rPr>
              <w:t>Level 2 QC</w:t>
            </w: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  <w:tr w:rsidR="00B95B5D" w:rsidRPr="00452CE8" w:rsidTr="00E15729">
        <w:tc>
          <w:tcPr>
            <w:tcW w:w="1656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493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07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68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B95B5D" w:rsidRPr="00452CE8" w:rsidRDefault="00B95B5D" w:rsidP="00E15729">
            <w:pPr>
              <w:rPr>
                <w:rFonts w:cs="Times New Roman"/>
              </w:rPr>
            </w:pPr>
          </w:p>
        </w:tc>
      </w:tr>
    </w:tbl>
    <w:p w:rsidR="00B95B5D" w:rsidRPr="00EF415D" w:rsidRDefault="00B95B5D" w:rsidP="00B95B5D">
      <w:pPr>
        <w:rPr>
          <w:rFonts w:cs="Times New Roman"/>
        </w:rPr>
      </w:pPr>
      <w:r w:rsidRPr="00EF415D">
        <w:rPr>
          <w:rFonts w:cs="Times New Roman"/>
        </w:rPr>
        <w:t>Show calculations on back</w:t>
      </w:r>
      <w:r w:rsidR="00EF415D">
        <w:rPr>
          <w:rFonts w:cs="Times New Roman"/>
        </w:rPr>
        <w:t>.</w:t>
      </w:r>
    </w:p>
    <w:p w:rsidR="00FB7B71" w:rsidRPr="00452CE8" w:rsidRDefault="00FB7B71"/>
    <w:p w:rsidR="00EF415D" w:rsidRPr="00EF415D" w:rsidRDefault="00AC051E">
      <w:pPr>
        <w:rPr>
          <w:rFonts w:cs="Times New Roman"/>
        </w:rPr>
      </w:pPr>
      <w:r w:rsidRPr="00EF415D">
        <w:rPr>
          <w:rFonts w:cs="Times New Roman"/>
          <w:b/>
        </w:rPr>
        <w:t>Questions</w:t>
      </w:r>
      <w:r w:rsidR="00EF415D" w:rsidRPr="00EF415D">
        <w:rPr>
          <w:rFonts w:cs="Times New Roman"/>
        </w:rPr>
        <w:t xml:space="preserve">: </w:t>
      </w:r>
    </w:p>
    <w:p w:rsidR="00AC051E" w:rsidRPr="00452CE8" w:rsidRDefault="00AC051E">
      <w:pPr>
        <w:rPr>
          <w:rFonts w:cs="Times New Roman"/>
        </w:rPr>
      </w:pPr>
      <w:r w:rsidRPr="00452CE8">
        <w:rPr>
          <w:rFonts w:cs="Times New Roman"/>
        </w:rPr>
        <w:t>Answer the following questions</w:t>
      </w:r>
      <w:r w:rsidR="00EF415D">
        <w:rPr>
          <w:rFonts w:cs="Times New Roman"/>
        </w:rPr>
        <w:t>,</w:t>
      </w:r>
      <w:r w:rsidRPr="00452CE8">
        <w:rPr>
          <w:rFonts w:cs="Times New Roman"/>
        </w:rPr>
        <w:t xml:space="preserve"> and submi</w:t>
      </w:r>
      <w:r w:rsidR="00EF415D">
        <w:rPr>
          <w:rFonts w:cs="Times New Roman"/>
        </w:rPr>
        <w:t xml:space="preserve">t with your laboratory report </w:t>
      </w:r>
      <w:r w:rsidR="00A32FFD" w:rsidRPr="00452CE8">
        <w:rPr>
          <w:rFonts w:cs="Times New Roman"/>
        </w:rPr>
        <w:t>(</w:t>
      </w:r>
      <w:r w:rsidR="00A32FFD" w:rsidRPr="00EF415D">
        <w:rPr>
          <w:rFonts w:cs="Times New Roman"/>
        </w:rPr>
        <w:t>1 point each)</w:t>
      </w:r>
      <w:r w:rsidR="00EF415D" w:rsidRPr="00EF415D">
        <w:rPr>
          <w:rFonts w:cs="Times New Roman"/>
        </w:rPr>
        <w:t>.</w:t>
      </w:r>
    </w:p>
    <w:p w:rsidR="00AC051E" w:rsidRPr="00452CE8" w:rsidRDefault="00AC051E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 xml:space="preserve">What is the reference (normal) ranges for creatinine using the </w:t>
      </w:r>
      <w:r w:rsidR="00EF415D">
        <w:rPr>
          <w:rFonts w:cs="Times New Roman"/>
        </w:rPr>
        <w:t xml:space="preserve">Jaffe method (Chapter 12)? </w:t>
      </w:r>
    </w:p>
    <w:p w:rsidR="00AC051E" w:rsidRPr="00452CE8" w:rsidRDefault="00AC051E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>What is the reference (normal) ranges for creatinine using the enzymatic method</w:t>
      </w:r>
      <w:r w:rsidR="00EF415D">
        <w:rPr>
          <w:rFonts w:cs="Times New Roman"/>
        </w:rPr>
        <w:t xml:space="preserve"> (Chapter 12)? </w:t>
      </w:r>
    </w:p>
    <w:p w:rsidR="00AC051E" w:rsidRPr="00452CE8" w:rsidRDefault="00AC051E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>What is the</w:t>
      </w:r>
      <w:r w:rsidR="008F6FFC" w:rsidRPr="00452CE8">
        <w:rPr>
          <w:rFonts w:cs="Times New Roman"/>
        </w:rPr>
        <w:t xml:space="preserve"> creatinine clearance? </w:t>
      </w:r>
    </w:p>
    <w:p w:rsidR="008F6FFC" w:rsidRPr="00452CE8" w:rsidRDefault="00AC051E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>What is the formula for the</w:t>
      </w:r>
      <w:r w:rsidR="008F6FFC" w:rsidRPr="00452CE8">
        <w:rPr>
          <w:rFonts w:cs="Times New Roman"/>
        </w:rPr>
        <w:t xml:space="preserve"> creatinine clearance? </w:t>
      </w:r>
    </w:p>
    <w:p w:rsidR="008F6FFC" w:rsidRPr="00452CE8" w:rsidRDefault="00AC051E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lastRenderedPageBreak/>
        <w:t xml:space="preserve">What is the </w:t>
      </w:r>
      <w:r w:rsidR="00BD3787" w:rsidRPr="00452CE8">
        <w:rPr>
          <w:rFonts w:cs="Times New Roman"/>
        </w:rPr>
        <w:t xml:space="preserve">MDRD </w:t>
      </w:r>
      <w:r w:rsidRPr="00452CE8">
        <w:rPr>
          <w:rFonts w:cs="Times New Roman"/>
        </w:rPr>
        <w:t>formula for the estimated glomerular fi</w:t>
      </w:r>
      <w:r w:rsidR="008F6FFC" w:rsidRPr="00452CE8">
        <w:rPr>
          <w:rFonts w:cs="Times New Roman"/>
        </w:rPr>
        <w:t>ltration rate (</w:t>
      </w:r>
      <w:proofErr w:type="spellStart"/>
      <w:r w:rsidR="008F6FFC" w:rsidRPr="00452CE8">
        <w:rPr>
          <w:rFonts w:cs="Times New Roman"/>
        </w:rPr>
        <w:t>eGFR</w:t>
      </w:r>
      <w:proofErr w:type="spellEnd"/>
      <w:r w:rsidR="008F6FFC" w:rsidRPr="00452CE8">
        <w:rPr>
          <w:rFonts w:cs="Times New Roman"/>
        </w:rPr>
        <w:t>)?</w:t>
      </w:r>
    </w:p>
    <w:p w:rsidR="00B75686" w:rsidRPr="00452CE8" w:rsidRDefault="008F6FFC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 xml:space="preserve">What are the factors that are used to predict the GFR?  </w:t>
      </w:r>
    </w:p>
    <w:p w:rsidR="00B75686" w:rsidRPr="00452CE8" w:rsidRDefault="00B75686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 xml:space="preserve">In one sentence, describe </w:t>
      </w:r>
      <w:r w:rsidR="00EF415D">
        <w:rPr>
          <w:rFonts w:cs="Times New Roman"/>
        </w:rPr>
        <w:t>a</w:t>
      </w:r>
      <w:r w:rsidRPr="00452CE8">
        <w:rPr>
          <w:rFonts w:cs="Times New Roman"/>
        </w:rPr>
        <w:t xml:space="preserve">cute </w:t>
      </w:r>
      <w:r w:rsidR="00EF415D">
        <w:rPr>
          <w:rFonts w:cs="Times New Roman"/>
        </w:rPr>
        <w:t>gl</w:t>
      </w:r>
      <w:r w:rsidRPr="00452CE8">
        <w:rPr>
          <w:rFonts w:cs="Times New Roman"/>
        </w:rPr>
        <w:t>omerulonephritis</w:t>
      </w:r>
      <w:r w:rsidR="004954B5">
        <w:rPr>
          <w:rFonts w:cs="Times New Roman"/>
        </w:rPr>
        <w:t xml:space="preserve">. </w:t>
      </w:r>
    </w:p>
    <w:p w:rsidR="00B75686" w:rsidRPr="00452CE8" w:rsidRDefault="00B75686" w:rsidP="0042254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>What are the laboratory (</w:t>
      </w:r>
      <w:r w:rsidR="00EF415D">
        <w:rPr>
          <w:rFonts w:cs="Times New Roman"/>
        </w:rPr>
        <w:t>u</w:t>
      </w:r>
      <w:r w:rsidRPr="00452CE8">
        <w:rPr>
          <w:rFonts w:cs="Times New Roman"/>
        </w:rPr>
        <w:t xml:space="preserve">rinalysis) findings in </w:t>
      </w:r>
      <w:r w:rsidR="00EF415D">
        <w:rPr>
          <w:rFonts w:cs="Times New Roman"/>
        </w:rPr>
        <w:t>a</w:t>
      </w:r>
      <w:r w:rsidRPr="00452CE8">
        <w:rPr>
          <w:rFonts w:cs="Times New Roman"/>
        </w:rPr>
        <w:t xml:space="preserve">cute </w:t>
      </w:r>
      <w:r w:rsidR="00EF415D">
        <w:rPr>
          <w:rFonts w:cs="Times New Roman"/>
        </w:rPr>
        <w:t xml:space="preserve">glomerulonephritis? </w:t>
      </w:r>
      <w:r w:rsidRPr="00452CE8">
        <w:rPr>
          <w:rFonts w:cs="Times New Roman"/>
        </w:rPr>
        <w:t>Include the chemical and microscopic findings</w:t>
      </w:r>
      <w:r w:rsidR="004954B5">
        <w:rPr>
          <w:rFonts w:cs="Times New Roman"/>
        </w:rPr>
        <w:t xml:space="preserve">. </w:t>
      </w:r>
    </w:p>
    <w:p w:rsidR="00422542" w:rsidRPr="00452CE8" w:rsidRDefault="00422542" w:rsidP="00422542">
      <w:pPr>
        <w:pStyle w:val="ListParagraph"/>
        <w:spacing w:after="0" w:line="240" w:lineRule="auto"/>
        <w:rPr>
          <w:rFonts w:cs="Times New Roman"/>
        </w:rPr>
      </w:pPr>
    </w:p>
    <w:p w:rsidR="00B75686" w:rsidRPr="00452CE8" w:rsidRDefault="00B75686" w:rsidP="00422542">
      <w:pPr>
        <w:pStyle w:val="ListParagraph"/>
        <w:numPr>
          <w:ilvl w:val="0"/>
          <w:numId w:val="6"/>
        </w:numPr>
        <w:spacing w:after="0" w:line="480" w:lineRule="auto"/>
        <w:rPr>
          <w:rFonts w:cs="Times New Roman"/>
        </w:rPr>
      </w:pPr>
      <w:r w:rsidRPr="00452CE8">
        <w:rPr>
          <w:rFonts w:cs="Times New Roman"/>
        </w:rPr>
        <w:t xml:space="preserve">In one sentence, describe </w:t>
      </w:r>
      <w:r w:rsidR="00EF415D">
        <w:rPr>
          <w:rFonts w:cs="Times New Roman"/>
        </w:rPr>
        <w:t>n</w:t>
      </w:r>
      <w:r w:rsidRPr="00452CE8">
        <w:rPr>
          <w:rFonts w:cs="Times New Roman"/>
        </w:rPr>
        <w:t xml:space="preserve">ephrotic </w:t>
      </w:r>
      <w:r w:rsidR="00EF415D">
        <w:rPr>
          <w:rFonts w:cs="Times New Roman"/>
        </w:rPr>
        <w:t>s</w:t>
      </w:r>
      <w:r w:rsidRPr="00452CE8">
        <w:rPr>
          <w:rFonts w:cs="Times New Roman"/>
        </w:rPr>
        <w:t>yndrome.</w:t>
      </w:r>
    </w:p>
    <w:p w:rsidR="00AC051E" w:rsidRPr="00452CE8" w:rsidRDefault="00B75686" w:rsidP="0042254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>What are the laboratory (</w:t>
      </w:r>
      <w:r w:rsidR="00EF415D">
        <w:rPr>
          <w:rFonts w:cs="Times New Roman"/>
        </w:rPr>
        <w:t>u</w:t>
      </w:r>
      <w:r w:rsidRPr="00452CE8">
        <w:rPr>
          <w:rFonts w:cs="Times New Roman"/>
        </w:rPr>
        <w:t xml:space="preserve">rinalysis findings) in </w:t>
      </w:r>
      <w:r w:rsidR="00EF415D">
        <w:rPr>
          <w:rFonts w:cs="Times New Roman"/>
        </w:rPr>
        <w:t>n</w:t>
      </w:r>
      <w:r w:rsidRPr="00452CE8">
        <w:rPr>
          <w:rFonts w:cs="Times New Roman"/>
        </w:rPr>
        <w:t xml:space="preserve">ephrotic </w:t>
      </w:r>
      <w:r w:rsidR="00EF415D">
        <w:rPr>
          <w:rFonts w:cs="Times New Roman"/>
        </w:rPr>
        <w:t xml:space="preserve">syndrome? </w:t>
      </w:r>
      <w:r w:rsidRPr="00452CE8">
        <w:rPr>
          <w:rFonts w:cs="Times New Roman"/>
        </w:rPr>
        <w:t>Include the chemical and microscopic findings</w:t>
      </w:r>
      <w:r w:rsidR="004954B5">
        <w:rPr>
          <w:rFonts w:cs="Times New Roman"/>
        </w:rPr>
        <w:t xml:space="preserve">. </w:t>
      </w:r>
      <w:r w:rsidR="008F6FFC" w:rsidRPr="00452CE8">
        <w:rPr>
          <w:rFonts w:cs="Times New Roman"/>
        </w:rPr>
        <w:t xml:space="preserve"> </w:t>
      </w:r>
    </w:p>
    <w:p w:rsidR="00422542" w:rsidRPr="00452CE8" w:rsidRDefault="00422542" w:rsidP="00422542">
      <w:pPr>
        <w:spacing w:after="0" w:line="240" w:lineRule="auto"/>
        <w:rPr>
          <w:rFonts w:cs="Times New Roman"/>
        </w:rPr>
      </w:pPr>
    </w:p>
    <w:p w:rsidR="00422542" w:rsidRPr="00452CE8" w:rsidRDefault="00422542" w:rsidP="00422542">
      <w:pPr>
        <w:spacing w:after="0" w:line="240" w:lineRule="auto"/>
        <w:rPr>
          <w:rFonts w:cs="Times New Roman"/>
        </w:rPr>
      </w:pPr>
    </w:p>
    <w:p w:rsidR="00422542" w:rsidRPr="00452CE8" w:rsidRDefault="00422542" w:rsidP="00422542">
      <w:pPr>
        <w:spacing w:after="0" w:line="240" w:lineRule="auto"/>
        <w:rPr>
          <w:rFonts w:cs="Times New Roman"/>
        </w:rPr>
      </w:pPr>
    </w:p>
    <w:p w:rsidR="00422542" w:rsidRPr="00452CE8" w:rsidRDefault="00422542" w:rsidP="00422542">
      <w:pPr>
        <w:spacing w:after="0" w:line="240" w:lineRule="auto"/>
        <w:rPr>
          <w:rFonts w:cs="Times New Roman"/>
        </w:rPr>
      </w:pPr>
    </w:p>
    <w:p w:rsidR="00EF415D" w:rsidRDefault="00EF415D" w:rsidP="00EF415D">
      <w:pPr>
        <w:rPr>
          <w:rFonts w:cs="Times New Roman"/>
        </w:rPr>
      </w:pPr>
    </w:p>
    <w:p w:rsidR="00EF443E" w:rsidRPr="00EF415D" w:rsidRDefault="00EF443E" w:rsidP="00EF415D">
      <w:pPr>
        <w:pStyle w:val="ListParagraph"/>
        <w:numPr>
          <w:ilvl w:val="0"/>
          <w:numId w:val="17"/>
        </w:numPr>
        <w:rPr>
          <w:rFonts w:cs="Times New Roman"/>
          <w:b/>
        </w:rPr>
      </w:pPr>
      <w:r w:rsidRPr="00EF415D">
        <w:rPr>
          <w:rFonts w:cs="Times New Roman"/>
          <w:b/>
        </w:rPr>
        <w:t>Urinalysis Quality Control Procedure</w:t>
      </w:r>
    </w:p>
    <w:p w:rsidR="00EF443E" w:rsidRDefault="00EF443E" w:rsidP="00EF443E">
      <w:pPr>
        <w:spacing w:after="0" w:line="240" w:lineRule="auto"/>
        <w:rPr>
          <w:rFonts w:cs="Times New Roman"/>
          <w:b/>
        </w:rPr>
      </w:pPr>
      <w:r w:rsidRPr="00EF415D">
        <w:rPr>
          <w:rFonts w:cs="Times New Roman"/>
          <w:b/>
        </w:rPr>
        <w:t>Supplies Needed:</w:t>
      </w:r>
    </w:p>
    <w:p w:rsidR="00EF415D" w:rsidRPr="00EF415D" w:rsidRDefault="00EF415D" w:rsidP="00EF443E">
      <w:pPr>
        <w:spacing w:after="0" w:line="240" w:lineRule="auto"/>
        <w:rPr>
          <w:rFonts w:cs="Times New Roman"/>
          <w:b/>
        </w:rPr>
      </w:pPr>
    </w:p>
    <w:p w:rsidR="00EF443E" w:rsidRPr="00452CE8" w:rsidRDefault="00EF443E" w:rsidP="00EF443E">
      <w:p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>UA Reagent Kit (dipsticks)</w:t>
      </w:r>
    </w:p>
    <w:p w:rsidR="00EF443E" w:rsidRPr="00452CE8" w:rsidRDefault="00EF443E" w:rsidP="00EF443E">
      <w:p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 xml:space="preserve">Siemens </w:t>
      </w:r>
      <w:proofErr w:type="spellStart"/>
      <w:r w:rsidRPr="00452CE8">
        <w:rPr>
          <w:rFonts w:cs="Times New Roman"/>
        </w:rPr>
        <w:t>Chek</w:t>
      </w:r>
      <w:proofErr w:type="spellEnd"/>
      <w:r w:rsidRPr="00452CE8">
        <w:rPr>
          <w:rFonts w:cs="Times New Roman"/>
        </w:rPr>
        <w:t>-Stix (</w:t>
      </w:r>
      <w:r w:rsidR="00EF415D">
        <w:rPr>
          <w:rFonts w:cs="Times New Roman"/>
        </w:rPr>
        <w:t>p</w:t>
      </w:r>
      <w:r w:rsidRPr="00452CE8">
        <w:rPr>
          <w:rFonts w:cs="Times New Roman"/>
        </w:rPr>
        <w:t xml:space="preserve">ositive </w:t>
      </w:r>
      <w:r w:rsidR="00EF415D">
        <w:rPr>
          <w:rFonts w:cs="Times New Roman"/>
        </w:rPr>
        <w:t>c</w:t>
      </w:r>
      <w:r w:rsidRPr="00452CE8">
        <w:rPr>
          <w:rFonts w:cs="Times New Roman"/>
        </w:rPr>
        <w:t>ontrol)</w:t>
      </w:r>
    </w:p>
    <w:p w:rsidR="00EF443E" w:rsidRPr="00452CE8" w:rsidRDefault="00EF443E" w:rsidP="00EF443E">
      <w:p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 xml:space="preserve">Siemens </w:t>
      </w:r>
      <w:proofErr w:type="spellStart"/>
      <w:r w:rsidRPr="00452CE8">
        <w:rPr>
          <w:rFonts w:cs="Times New Roman"/>
        </w:rPr>
        <w:t>Chek</w:t>
      </w:r>
      <w:proofErr w:type="spellEnd"/>
      <w:r w:rsidRPr="00452CE8">
        <w:rPr>
          <w:rFonts w:cs="Times New Roman"/>
        </w:rPr>
        <w:t>-Stix (</w:t>
      </w:r>
      <w:r w:rsidR="00EF415D">
        <w:rPr>
          <w:rFonts w:cs="Times New Roman"/>
        </w:rPr>
        <w:t>n</w:t>
      </w:r>
      <w:r w:rsidRPr="00452CE8">
        <w:rPr>
          <w:rFonts w:cs="Times New Roman"/>
        </w:rPr>
        <w:t xml:space="preserve">egative </w:t>
      </w:r>
      <w:r w:rsidR="00EF415D">
        <w:rPr>
          <w:rFonts w:cs="Times New Roman"/>
        </w:rPr>
        <w:t>c</w:t>
      </w:r>
      <w:r w:rsidRPr="00452CE8">
        <w:rPr>
          <w:rFonts w:cs="Times New Roman"/>
        </w:rPr>
        <w:t>ontrol)</w:t>
      </w:r>
    </w:p>
    <w:p w:rsidR="00EF443E" w:rsidRPr="00452CE8" w:rsidRDefault="00EF443E" w:rsidP="00EF443E">
      <w:pPr>
        <w:spacing w:after="0" w:line="240" w:lineRule="auto"/>
        <w:rPr>
          <w:rFonts w:cs="Times New Roman"/>
        </w:rPr>
      </w:pPr>
      <w:r w:rsidRPr="00452CE8">
        <w:rPr>
          <w:rFonts w:cs="Times New Roman"/>
        </w:rPr>
        <w:t xml:space="preserve">One </w:t>
      </w:r>
      <w:r w:rsidR="00EF415D">
        <w:rPr>
          <w:rFonts w:cs="Times New Roman"/>
        </w:rPr>
        <w:t>q</w:t>
      </w:r>
      <w:r w:rsidRPr="00452CE8">
        <w:rPr>
          <w:rFonts w:cs="Times New Roman"/>
        </w:rPr>
        <w:t xml:space="preserve">uality </w:t>
      </w:r>
      <w:r w:rsidR="00EF415D">
        <w:rPr>
          <w:rFonts w:cs="Times New Roman"/>
        </w:rPr>
        <w:t>c</w:t>
      </w:r>
      <w:r w:rsidRPr="00452CE8">
        <w:rPr>
          <w:rFonts w:cs="Times New Roman"/>
        </w:rPr>
        <w:t xml:space="preserve">ontrol </w:t>
      </w:r>
      <w:r w:rsidR="00EF415D">
        <w:rPr>
          <w:rFonts w:cs="Times New Roman"/>
        </w:rPr>
        <w:t>w</w:t>
      </w:r>
      <w:r w:rsidRPr="00452CE8">
        <w:rPr>
          <w:rFonts w:cs="Times New Roman"/>
        </w:rPr>
        <w:t>orksheet (found in lab packet or provided by instructor)</w:t>
      </w:r>
    </w:p>
    <w:p w:rsidR="00EF443E" w:rsidRPr="00452CE8" w:rsidRDefault="00EF443E" w:rsidP="00EF443E">
      <w:pPr>
        <w:rPr>
          <w:rFonts w:cs="Times New Roman"/>
        </w:rPr>
      </w:pPr>
    </w:p>
    <w:p w:rsidR="00EF443E" w:rsidRPr="00EF415D" w:rsidRDefault="00EF443E" w:rsidP="00EF443E">
      <w:pPr>
        <w:rPr>
          <w:rFonts w:cs="Times New Roman"/>
          <w:b/>
        </w:rPr>
      </w:pPr>
      <w:r w:rsidRPr="00EF415D">
        <w:rPr>
          <w:rFonts w:cs="Times New Roman"/>
          <w:b/>
        </w:rPr>
        <w:t>Principle:</w:t>
      </w:r>
    </w:p>
    <w:p w:rsidR="00EF443E" w:rsidRPr="00452CE8" w:rsidRDefault="00EF443E" w:rsidP="00EF443E">
      <w:pPr>
        <w:rPr>
          <w:rFonts w:cs="Times New Roman"/>
        </w:rPr>
      </w:pPr>
      <w:r w:rsidRPr="00452CE8">
        <w:rPr>
          <w:rFonts w:cs="Times New Roman"/>
        </w:rPr>
        <w:t>A good program of quality control (QC) ensures that the results from the chemica</w:t>
      </w:r>
      <w:r w:rsidR="004954B5">
        <w:rPr>
          <w:rFonts w:cs="Times New Roman"/>
        </w:rPr>
        <w:t>l ana</w:t>
      </w:r>
      <w:r w:rsidRPr="00452CE8">
        <w:rPr>
          <w:rFonts w:cs="Times New Roman"/>
        </w:rPr>
        <w:t>lysis of urine are reliable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 xml:space="preserve">A good </w:t>
      </w:r>
      <w:r w:rsidR="004954B5">
        <w:rPr>
          <w:rFonts w:cs="Times New Roman"/>
        </w:rPr>
        <w:t>q</w:t>
      </w:r>
      <w:r w:rsidRPr="00452CE8">
        <w:rPr>
          <w:rFonts w:cs="Times New Roman"/>
        </w:rPr>
        <w:t xml:space="preserve">uality </w:t>
      </w:r>
      <w:r w:rsidR="004954B5">
        <w:rPr>
          <w:rFonts w:cs="Times New Roman"/>
        </w:rPr>
        <w:t>control</w:t>
      </w:r>
      <w:r w:rsidRPr="00452CE8">
        <w:rPr>
          <w:rFonts w:cs="Times New Roman"/>
        </w:rPr>
        <w:t xml:space="preserve"> (QC) encompasses all procedures that could impact a patient and/or specimen, from collection of specimens to reporting patient results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rPr>
          <w:rFonts w:cs="Times New Roman"/>
        </w:rPr>
      </w:pPr>
      <w:r w:rsidRPr="00452CE8">
        <w:rPr>
          <w:rFonts w:cs="Times New Roman"/>
        </w:rPr>
        <w:t>The effectiveness of urine test materials, such as the dipstick and confirmatory reagent tablets, is validated by the us</w:t>
      </w:r>
      <w:r w:rsidR="004954B5">
        <w:rPr>
          <w:rFonts w:cs="Times New Roman"/>
        </w:rPr>
        <w:t xml:space="preserve">e of urine chemistry controls. </w:t>
      </w:r>
      <w:r w:rsidRPr="00452CE8">
        <w:rPr>
          <w:rFonts w:cs="Times New Roman"/>
        </w:rPr>
        <w:t>These manufactured controls are tested in the same mann</w:t>
      </w:r>
      <w:r w:rsidR="004954B5">
        <w:rPr>
          <w:rFonts w:cs="Times New Roman"/>
        </w:rPr>
        <w:t xml:space="preserve">er as a patient urine sample. </w:t>
      </w:r>
      <w:r w:rsidRPr="00452CE8">
        <w:rPr>
          <w:rFonts w:cs="Times New Roman"/>
        </w:rPr>
        <w:t>The results of these controls must be within the manufacturer’s stated ranges found in an insert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>If these results are not within the recommended range of the manufacturer, patient samples can</w:t>
      </w:r>
      <w:r w:rsidR="004954B5">
        <w:rPr>
          <w:rFonts w:cs="Times New Roman"/>
        </w:rPr>
        <w:t>not</w:t>
      </w:r>
      <w:r w:rsidRPr="00452CE8">
        <w:rPr>
          <w:rFonts w:cs="Times New Roman"/>
        </w:rPr>
        <w:t xml:space="preserve"> be run</w:t>
      </w:r>
      <w:r w:rsidR="004954B5">
        <w:rPr>
          <w:rFonts w:cs="Times New Roman"/>
        </w:rPr>
        <w:t>,</w:t>
      </w:r>
      <w:r w:rsidRPr="00452CE8">
        <w:rPr>
          <w:rFonts w:cs="Times New Roman"/>
        </w:rPr>
        <w:t xml:space="preserve"> and results should not be reported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rPr>
          <w:rFonts w:cs="Times New Roman"/>
        </w:rPr>
      </w:pPr>
      <w:r w:rsidRPr="00452CE8">
        <w:rPr>
          <w:rFonts w:cs="Times New Roman"/>
        </w:rPr>
        <w:t>When the control results are not within the specified ranges, the test should be repeated using a new dipstick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>If that result is also out of range, a stick from a new vial should be testing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 xml:space="preserve">Again, </w:t>
      </w:r>
      <w:r w:rsidR="004954B5">
        <w:rPr>
          <w:rFonts w:cs="Times New Roman"/>
        </w:rPr>
        <w:t xml:space="preserve">patient results should not be reported until the cause of the discrepancy has been identified. </w:t>
      </w:r>
    </w:p>
    <w:p w:rsidR="00EF443E" w:rsidRPr="004954B5" w:rsidRDefault="00EF443E" w:rsidP="00D245B8">
      <w:pPr>
        <w:rPr>
          <w:rFonts w:cs="Times New Roman"/>
          <w:b/>
        </w:rPr>
      </w:pPr>
      <w:r w:rsidRPr="004954B5">
        <w:rPr>
          <w:rFonts w:cs="Times New Roman"/>
          <w:b/>
        </w:rPr>
        <w:t>Procedure</w:t>
      </w:r>
      <w:r w:rsidR="004954B5">
        <w:rPr>
          <w:rFonts w:cs="Times New Roman"/>
          <w:b/>
        </w:rPr>
        <w:t xml:space="preserve"> (10 points)</w:t>
      </w:r>
      <w:r w:rsidRPr="004954B5">
        <w:rPr>
          <w:rFonts w:cs="Times New Roman"/>
          <w:b/>
        </w:rPr>
        <w:t>:</w:t>
      </w:r>
      <w:r w:rsidR="004954B5">
        <w:rPr>
          <w:rFonts w:cs="Times New Roman"/>
          <w:b/>
        </w:rPr>
        <w:t xml:space="preserve">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lastRenderedPageBreak/>
        <w:t xml:space="preserve">Record the lot numbers and expiration dates of the liquid </w:t>
      </w:r>
      <w:r w:rsidR="004954B5">
        <w:rPr>
          <w:rFonts w:cs="Times New Roman"/>
        </w:rPr>
        <w:t>q</w:t>
      </w:r>
      <w:r w:rsidRPr="00452CE8">
        <w:rPr>
          <w:rFonts w:cs="Times New Roman"/>
        </w:rPr>
        <w:t xml:space="preserve">uality </w:t>
      </w:r>
      <w:r w:rsidR="004954B5">
        <w:rPr>
          <w:rFonts w:cs="Times New Roman"/>
        </w:rPr>
        <w:t>c</w:t>
      </w:r>
      <w:r w:rsidRPr="00452CE8">
        <w:rPr>
          <w:rFonts w:cs="Times New Roman"/>
        </w:rPr>
        <w:t>ontrol mate</w:t>
      </w:r>
      <w:r w:rsidR="00D245B8" w:rsidRPr="00452CE8">
        <w:rPr>
          <w:rFonts w:cs="Times New Roman"/>
        </w:rPr>
        <w:t xml:space="preserve">rial </w:t>
      </w:r>
      <w:r w:rsidRPr="00452CE8">
        <w:rPr>
          <w:rFonts w:cs="Times New Roman"/>
        </w:rPr>
        <w:t>on the front of the Quality Control Worksheet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 xml:space="preserve">Level 1 is the </w:t>
      </w:r>
      <w:r w:rsidR="004954B5">
        <w:rPr>
          <w:rFonts w:cs="Times New Roman"/>
        </w:rPr>
        <w:t>n</w:t>
      </w:r>
      <w:r w:rsidRPr="00452CE8">
        <w:rPr>
          <w:rFonts w:cs="Times New Roman"/>
        </w:rPr>
        <w:t xml:space="preserve">egative </w:t>
      </w:r>
      <w:r w:rsidR="004954B5">
        <w:rPr>
          <w:rFonts w:cs="Times New Roman"/>
        </w:rPr>
        <w:t>c</w:t>
      </w:r>
      <w:r w:rsidRPr="00452CE8">
        <w:rPr>
          <w:rFonts w:cs="Times New Roman"/>
        </w:rPr>
        <w:t>ontrol</w:t>
      </w:r>
      <w:r w:rsidR="004954B5">
        <w:rPr>
          <w:rFonts w:cs="Times New Roman"/>
        </w:rPr>
        <w:t>,</w:t>
      </w:r>
      <w:r w:rsidRPr="00452CE8">
        <w:rPr>
          <w:rFonts w:cs="Times New Roman"/>
        </w:rPr>
        <w:t xml:space="preserve"> and Level 2 is the positive </w:t>
      </w:r>
      <w:r w:rsidR="004954B5">
        <w:rPr>
          <w:rFonts w:cs="Times New Roman"/>
        </w:rPr>
        <w:t>c</w:t>
      </w:r>
      <w:r w:rsidRPr="00452CE8">
        <w:rPr>
          <w:rFonts w:cs="Times New Roman"/>
        </w:rPr>
        <w:t>ontrol</w:t>
      </w:r>
      <w:r w:rsidR="004954B5">
        <w:rPr>
          <w:rFonts w:cs="Times New Roman"/>
        </w:rPr>
        <w:t xml:space="preserve">. </w:t>
      </w:r>
    </w:p>
    <w:p w:rsidR="00EF443E" w:rsidRPr="00452CE8" w:rsidRDefault="004954B5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t>Label 2 conical</w:t>
      </w:r>
      <w:r w:rsidR="00EF443E" w:rsidRPr="00452CE8">
        <w:rPr>
          <w:rFonts w:cs="Times New Roman"/>
        </w:rPr>
        <w:t xml:space="preserve"> tubes</w:t>
      </w:r>
      <w:r>
        <w:rPr>
          <w:rFonts w:cs="Times New Roman"/>
        </w:rPr>
        <w:t xml:space="preserve">. </w:t>
      </w:r>
      <w:r w:rsidR="00EF443E" w:rsidRPr="00452CE8">
        <w:rPr>
          <w:rFonts w:cs="Times New Roman"/>
        </w:rPr>
        <w:t>One should be labeled Posit</w:t>
      </w:r>
      <w:r>
        <w:rPr>
          <w:rFonts w:cs="Times New Roman"/>
        </w:rPr>
        <w:t>ive Control along with the lot number and expiration d</w:t>
      </w:r>
      <w:r w:rsidR="00EF443E" w:rsidRPr="00452CE8">
        <w:rPr>
          <w:rFonts w:cs="Times New Roman"/>
        </w:rPr>
        <w:t>ate</w:t>
      </w:r>
      <w:r>
        <w:rPr>
          <w:rFonts w:cs="Times New Roman"/>
        </w:rPr>
        <w:t>. The other conical</w:t>
      </w:r>
      <w:r w:rsidR="00EF443E" w:rsidRPr="00452CE8">
        <w:rPr>
          <w:rFonts w:cs="Times New Roman"/>
        </w:rPr>
        <w:t xml:space="preserve"> tube should be labeled Negat</w:t>
      </w:r>
      <w:r>
        <w:rPr>
          <w:rFonts w:cs="Times New Roman"/>
        </w:rPr>
        <w:t>ive Control along with the lot number and expiration d</w:t>
      </w:r>
      <w:r w:rsidR="00EF443E" w:rsidRPr="00452CE8">
        <w:rPr>
          <w:rFonts w:cs="Times New Roman"/>
        </w:rPr>
        <w:t>ate</w:t>
      </w:r>
      <w:r>
        <w:rPr>
          <w:rFonts w:cs="Times New Roman"/>
        </w:rPr>
        <w:t xml:space="preserve">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 xml:space="preserve">Fill each tube with 12 mL of distilled or deionized water.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>Place the corresponding QC st</w:t>
      </w:r>
      <w:r w:rsidR="004954B5">
        <w:rPr>
          <w:rFonts w:cs="Times New Roman"/>
        </w:rPr>
        <w:t>rip into the appropriately labe</w:t>
      </w:r>
      <w:r w:rsidRPr="00452CE8">
        <w:rPr>
          <w:rFonts w:cs="Times New Roman"/>
        </w:rPr>
        <w:t>led tube</w:t>
      </w:r>
      <w:r w:rsidR="004954B5">
        <w:rPr>
          <w:rFonts w:cs="Times New Roman"/>
        </w:rPr>
        <w:t>.</w:t>
      </w:r>
      <w:r w:rsidRPr="00452CE8">
        <w:rPr>
          <w:rFonts w:cs="Times New Roman"/>
        </w:rPr>
        <w:t xml:space="preserve"> (Positive QC strip gets placed into the tube labelled Positive QC, etc</w:t>
      </w:r>
      <w:r w:rsidR="004954B5">
        <w:rPr>
          <w:rFonts w:cs="Times New Roman"/>
        </w:rPr>
        <w:t>.</w:t>
      </w:r>
      <w:r w:rsidRPr="00452CE8">
        <w:rPr>
          <w:rFonts w:cs="Times New Roman"/>
        </w:rPr>
        <w:t>)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>Gently invert the tubes back and forth for 2 minutes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>Allow the tubes to stand for 30 minutes at room temperature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>Invert on</w:t>
      </w:r>
      <w:r w:rsidR="004954B5">
        <w:rPr>
          <w:rFonts w:cs="Times New Roman"/>
        </w:rPr>
        <w:t>e</w:t>
      </w:r>
      <w:r w:rsidRPr="00452CE8">
        <w:rPr>
          <w:rFonts w:cs="Times New Roman"/>
        </w:rPr>
        <w:t xml:space="preserve"> more time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>Remove and discard the strip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 xml:space="preserve">Perform </w:t>
      </w:r>
      <w:r w:rsidR="004954B5">
        <w:rPr>
          <w:rFonts w:cs="Times New Roman"/>
        </w:rPr>
        <w:t>d</w:t>
      </w:r>
      <w:r w:rsidRPr="00452CE8">
        <w:rPr>
          <w:rFonts w:cs="Times New Roman"/>
        </w:rPr>
        <w:t>ipstick on both controls.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 xml:space="preserve">Record the results on the front of the Quality Control Worksheet by circling the results obtained from the </w:t>
      </w:r>
      <w:proofErr w:type="spellStart"/>
      <w:r w:rsidR="004954B5">
        <w:rPr>
          <w:rFonts w:cs="Times New Roman"/>
        </w:rPr>
        <w:t>M</w:t>
      </w:r>
      <w:r w:rsidRPr="00452CE8">
        <w:rPr>
          <w:rFonts w:cs="Times New Roman"/>
        </w:rPr>
        <w:t>ultisti</w:t>
      </w:r>
      <w:r w:rsidR="004954B5">
        <w:rPr>
          <w:rFonts w:cs="Times New Roman"/>
        </w:rPr>
        <w:t>x</w:t>
      </w:r>
      <w:proofErr w:type="spellEnd"/>
      <w:r w:rsidRPr="00452CE8">
        <w:rPr>
          <w:rFonts w:cs="Times New Roman"/>
        </w:rPr>
        <w:t xml:space="preserve"> dipstick</w:t>
      </w:r>
      <w:r w:rsidR="004954B5">
        <w:rPr>
          <w:rFonts w:cs="Times New Roman"/>
        </w:rPr>
        <w:t xml:space="preserve">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 xml:space="preserve">Compare the results from the QC you performed to the manufactures insert to ensure that all expected results are obtained. </w:t>
      </w:r>
    </w:p>
    <w:p w:rsidR="00EF443E" w:rsidRPr="00452CE8" w:rsidRDefault="00EF443E" w:rsidP="00EF443E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452CE8">
        <w:rPr>
          <w:rFonts w:cs="Times New Roman"/>
        </w:rPr>
        <w:t>Troubleshoot if any result is not within the suggested results of the manufacturer</w:t>
      </w:r>
      <w:r w:rsidR="004954B5">
        <w:rPr>
          <w:rFonts w:cs="Times New Roman"/>
        </w:rPr>
        <w:t xml:space="preserve">. </w:t>
      </w:r>
      <w:r w:rsidRPr="00452CE8">
        <w:rPr>
          <w:rFonts w:cs="Times New Roman"/>
        </w:rPr>
        <w:t xml:space="preserve">(See </w:t>
      </w:r>
      <w:r w:rsidR="004954B5">
        <w:rPr>
          <w:rFonts w:cs="Times New Roman"/>
        </w:rPr>
        <w:t>p</w:t>
      </w:r>
      <w:r w:rsidRPr="00452CE8">
        <w:rPr>
          <w:rFonts w:cs="Times New Roman"/>
        </w:rPr>
        <w:t>rinciple for su</w:t>
      </w:r>
      <w:r w:rsidR="004954B5">
        <w:rPr>
          <w:rFonts w:cs="Times New Roman"/>
        </w:rPr>
        <w:t xml:space="preserve">ggestions for troubleshooting, </w:t>
      </w:r>
      <w:r w:rsidRPr="00452CE8">
        <w:rPr>
          <w:rFonts w:cs="Times New Roman"/>
        </w:rPr>
        <w:t>if applicable.)</w:t>
      </w:r>
    </w:p>
    <w:p w:rsidR="00EF443E" w:rsidRPr="00452CE8" w:rsidRDefault="00EF443E" w:rsidP="00EF443E">
      <w:pPr>
        <w:rPr>
          <w:rFonts w:cs="Times New Roman"/>
        </w:rPr>
      </w:pPr>
    </w:p>
    <w:p w:rsidR="00EF443E" w:rsidRPr="00452CE8" w:rsidRDefault="00EF443E" w:rsidP="00422542">
      <w:pPr>
        <w:rPr>
          <w:rFonts w:cs="Times New Roman"/>
        </w:rPr>
      </w:pPr>
    </w:p>
    <w:p w:rsidR="00D245B8" w:rsidRPr="00452CE8" w:rsidRDefault="00D245B8" w:rsidP="00422542">
      <w:pPr>
        <w:rPr>
          <w:rFonts w:cs="Times New Roman"/>
        </w:rPr>
      </w:pPr>
    </w:p>
    <w:p w:rsidR="004954B5" w:rsidRDefault="00EF443E" w:rsidP="00422542">
      <w:pPr>
        <w:rPr>
          <w:rFonts w:cs="Times New Roman"/>
        </w:rPr>
      </w:pPr>
      <w:r w:rsidRPr="004954B5">
        <w:rPr>
          <w:rFonts w:cs="Times New Roman"/>
          <w:b/>
        </w:rPr>
        <w:t xml:space="preserve">Acceptable </w:t>
      </w:r>
      <w:r w:rsidR="00422542" w:rsidRPr="004954B5">
        <w:rPr>
          <w:rFonts w:cs="Times New Roman"/>
          <w:b/>
        </w:rPr>
        <w:t>Values</w:t>
      </w:r>
      <w:r w:rsidR="004954B5">
        <w:rPr>
          <w:rFonts w:cs="Times New Roman"/>
          <w:b/>
        </w:rPr>
        <w:t>:</w:t>
      </w:r>
      <w:r w:rsidRPr="00452CE8">
        <w:rPr>
          <w:rFonts w:cs="Times New Roman"/>
        </w:rPr>
        <w:t xml:space="preserve"> </w:t>
      </w:r>
    </w:p>
    <w:p w:rsidR="00422542" w:rsidRPr="00452CE8" w:rsidRDefault="004954B5" w:rsidP="00422542">
      <w:pPr>
        <w:rPr>
          <w:rFonts w:cs="Times New Roman"/>
        </w:rPr>
      </w:pPr>
      <w:r>
        <w:rPr>
          <w:rFonts w:cs="Times New Roman"/>
        </w:rPr>
        <w:t>(T</w:t>
      </w:r>
      <w:r w:rsidR="00EF443E" w:rsidRPr="00452CE8">
        <w:rPr>
          <w:rFonts w:cs="Times New Roman"/>
        </w:rPr>
        <w:t>he following were taken from the manufacturer’s insert</w:t>
      </w:r>
      <w:r>
        <w:rPr>
          <w:rFonts w:cs="Times New Roman"/>
        </w:rPr>
        <w:t>.</w:t>
      </w:r>
      <w:r w:rsidR="00EF443E" w:rsidRPr="00452CE8">
        <w:rPr>
          <w:rFonts w:cs="Times New Roman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5"/>
        <w:gridCol w:w="3114"/>
        <w:gridCol w:w="3111"/>
      </w:tblGrid>
      <w:tr w:rsidR="00422542" w:rsidRPr="00452CE8" w:rsidTr="005F23BF">
        <w:tc>
          <w:tcPr>
            <w:tcW w:w="3192" w:type="dxa"/>
          </w:tcPr>
          <w:p w:rsidR="00422542" w:rsidRPr="004954B5" w:rsidRDefault="00422542" w:rsidP="005F23BF">
            <w:pPr>
              <w:contextualSpacing/>
              <w:rPr>
                <w:rFonts w:cs="Times New Roman"/>
                <w:b/>
              </w:rPr>
            </w:pPr>
            <w:r w:rsidRPr="004954B5">
              <w:rPr>
                <w:rFonts w:cs="Times New Roman"/>
                <w:b/>
              </w:rPr>
              <w:t>Test</w:t>
            </w:r>
          </w:p>
        </w:tc>
        <w:tc>
          <w:tcPr>
            <w:tcW w:w="3192" w:type="dxa"/>
          </w:tcPr>
          <w:p w:rsidR="00422542" w:rsidRPr="004954B5" w:rsidRDefault="00422542" w:rsidP="005F23BF">
            <w:pPr>
              <w:contextualSpacing/>
              <w:rPr>
                <w:rFonts w:cs="Times New Roman"/>
                <w:b/>
              </w:rPr>
            </w:pPr>
            <w:r w:rsidRPr="004954B5">
              <w:rPr>
                <w:rFonts w:cs="Times New Roman"/>
                <w:b/>
              </w:rPr>
              <w:t>Positive control</w:t>
            </w:r>
          </w:p>
        </w:tc>
        <w:tc>
          <w:tcPr>
            <w:tcW w:w="3192" w:type="dxa"/>
          </w:tcPr>
          <w:p w:rsidR="00422542" w:rsidRPr="004954B5" w:rsidRDefault="00422542" w:rsidP="005F23BF">
            <w:pPr>
              <w:contextualSpacing/>
              <w:rPr>
                <w:rFonts w:cs="Times New Roman"/>
                <w:b/>
              </w:rPr>
            </w:pPr>
            <w:r w:rsidRPr="004954B5">
              <w:rPr>
                <w:rFonts w:cs="Times New Roman"/>
                <w:b/>
              </w:rPr>
              <w:t>Negative control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Glucose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100–250 mg/dl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Bilirubin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≥ small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Ketones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≥ trace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SG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1.000–1.015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1.010–1.025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Blood</w:t>
            </w:r>
          </w:p>
        </w:tc>
        <w:tc>
          <w:tcPr>
            <w:tcW w:w="3192" w:type="dxa"/>
          </w:tcPr>
          <w:p w:rsidR="00422542" w:rsidRPr="00452CE8" w:rsidRDefault="004954B5" w:rsidP="005F23B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422542" w:rsidRPr="00452CE8">
              <w:rPr>
                <w:rFonts w:cs="Times New Roman"/>
              </w:rPr>
              <w:t>od-large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pH</w:t>
            </w:r>
            <w:bookmarkStart w:id="0" w:name="_GoBack"/>
            <w:bookmarkEnd w:id="0"/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≥ 8.0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6.0–7.0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Protein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trace: 100 mg/</w:t>
            </w:r>
            <w:proofErr w:type="spellStart"/>
            <w:r w:rsidRPr="00452CE8">
              <w:rPr>
                <w:rFonts w:cs="Times New Roman"/>
              </w:rPr>
              <w:t>dL</w:t>
            </w:r>
            <w:proofErr w:type="spellEnd"/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Urobilinogen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≥ 2 mg/dl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0.2–1.0 mg/</w:t>
            </w:r>
            <w:proofErr w:type="spellStart"/>
            <w:r w:rsidRPr="00452CE8">
              <w:rPr>
                <w:rFonts w:cs="Times New Roman"/>
              </w:rPr>
              <w:t>dL</w:t>
            </w:r>
            <w:proofErr w:type="spellEnd"/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Nitrite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positive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  <w:tr w:rsidR="00422542" w:rsidRPr="00452CE8" w:rsidTr="005F23BF"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Leukocytes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trace-moderate</w:t>
            </w:r>
          </w:p>
        </w:tc>
        <w:tc>
          <w:tcPr>
            <w:tcW w:w="3192" w:type="dxa"/>
          </w:tcPr>
          <w:p w:rsidR="00422542" w:rsidRPr="00452CE8" w:rsidRDefault="00422542" w:rsidP="005F23BF">
            <w:pPr>
              <w:contextualSpacing/>
              <w:rPr>
                <w:rFonts w:cs="Times New Roman"/>
              </w:rPr>
            </w:pPr>
            <w:r w:rsidRPr="00452CE8">
              <w:rPr>
                <w:rFonts w:cs="Times New Roman"/>
              </w:rPr>
              <w:t>negative</w:t>
            </w:r>
          </w:p>
        </w:tc>
      </w:tr>
    </w:tbl>
    <w:p w:rsidR="00422542" w:rsidRPr="00452CE8" w:rsidRDefault="00422542" w:rsidP="00422542">
      <w:pPr>
        <w:ind w:left="720"/>
        <w:contextualSpacing/>
        <w:rPr>
          <w:rFonts w:cs="Times New Roman"/>
        </w:rPr>
      </w:pPr>
    </w:p>
    <w:p w:rsidR="00422542" w:rsidRPr="00452CE8" w:rsidRDefault="00422542" w:rsidP="00422542">
      <w:pPr>
        <w:rPr>
          <w:rFonts w:cs="Times New Roman"/>
          <w:b/>
          <w:u w:val="single"/>
        </w:rPr>
      </w:pPr>
    </w:p>
    <w:p w:rsidR="00422542" w:rsidRPr="00452CE8" w:rsidRDefault="00422542" w:rsidP="00422542">
      <w:pPr>
        <w:rPr>
          <w:rFonts w:cs="Times New Roman"/>
          <w:b/>
          <w:u w:val="single"/>
        </w:rPr>
      </w:pPr>
    </w:p>
    <w:sectPr w:rsidR="00422542" w:rsidRPr="00452CE8" w:rsidSect="00D33C51">
      <w:footerReference w:type="default" r:id="rId7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A8" w:rsidRDefault="009114A8" w:rsidP="00452CE8">
      <w:pPr>
        <w:spacing w:after="0" w:line="240" w:lineRule="auto"/>
      </w:pPr>
      <w:r>
        <w:separator/>
      </w:r>
    </w:p>
  </w:endnote>
  <w:endnote w:type="continuationSeparator" w:id="0">
    <w:p w:rsidR="009114A8" w:rsidRDefault="009114A8" w:rsidP="0045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CE8" w:rsidRPr="00BB2C01" w:rsidRDefault="00452CE8" w:rsidP="00452CE8">
    <w:pPr>
      <w:rPr>
        <w:color w:val="000000" w:themeColor="text1"/>
      </w:rPr>
    </w:pPr>
    <w:r w:rsidRPr="00BB2C01">
      <w:rPr>
        <w:color w:val="000000" w:themeColor="text1"/>
      </w:rPr>
      <w:t xml:space="preserve">CLS412 Week 1 </w:t>
    </w:r>
    <w:r>
      <w:rPr>
        <w:color w:val="000000" w:themeColor="text1"/>
      </w:rPr>
      <w:t>Lab</w:t>
    </w:r>
    <w:r w:rsidRPr="00BB2C01">
      <w:rPr>
        <w:color w:val="000000" w:themeColor="text1"/>
      </w:rPr>
      <w:t xml:space="preserve"> | </w:t>
    </w:r>
    <w:r>
      <w:rPr>
        <w:color w:val="000000" w:themeColor="text1"/>
      </w:rPr>
      <w:t>1</w:t>
    </w:r>
  </w:p>
  <w:p w:rsidR="00452CE8" w:rsidRDefault="00452CE8">
    <w:pPr>
      <w:pStyle w:val="Footer"/>
    </w:pPr>
  </w:p>
  <w:p w:rsidR="00452CE8" w:rsidRDefault="00452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A8" w:rsidRDefault="009114A8" w:rsidP="00452CE8">
      <w:pPr>
        <w:spacing w:after="0" w:line="240" w:lineRule="auto"/>
      </w:pPr>
      <w:r>
        <w:separator/>
      </w:r>
    </w:p>
  </w:footnote>
  <w:footnote w:type="continuationSeparator" w:id="0">
    <w:p w:rsidR="009114A8" w:rsidRDefault="009114A8" w:rsidP="0045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5D5"/>
    <w:multiLevelType w:val="hybridMultilevel"/>
    <w:tmpl w:val="7DCC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41B"/>
    <w:multiLevelType w:val="hybridMultilevel"/>
    <w:tmpl w:val="A570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719F"/>
    <w:multiLevelType w:val="hybridMultilevel"/>
    <w:tmpl w:val="635A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48D4"/>
    <w:multiLevelType w:val="hybridMultilevel"/>
    <w:tmpl w:val="1B3071B0"/>
    <w:lvl w:ilvl="0" w:tplc="334A2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36E3"/>
    <w:multiLevelType w:val="hybridMultilevel"/>
    <w:tmpl w:val="21762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85793"/>
    <w:multiLevelType w:val="hybridMultilevel"/>
    <w:tmpl w:val="2668E0A6"/>
    <w:lvl w:ilvl="0" w:tplc="187EE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5E515C"/>
    <w:multiLevelType w:val="hybridMultilevel"/>
    <w:tmpl w:val="C726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63"/>
    <w:multiLevelType w:val="hybridMultilevel"/>
    <w:tmpl w:val="C392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2C1A"/>
    <w:multiLevelType w:val="hybridMultilevel"/>
    <w:tmpl w:val="543AC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45464"/>
    <w:multiLevelType w:val="hybridMultilevel"/>
    <w:tmpl w:val="2B7C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234BE"/>
    <w:multiLevelType w:val="hybridMultilevel"/>
    <w:tmpl w:val="15E4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82F53"/>
    <w:multiLevelType w:val="hybridMultilevel"/>
    <w:tmpl w:val="C9D6A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1172"/>
    <w:multiLevelType w:val="hybridMultilevel"/>
    <w:tmpl w:val="1BA00FE6"/>
    <w:lvl w:ilvl="0" w:tplc="70F2660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069ED"/>
    <w:multiLevelType w:val="hybridMultilevel"/>
    <w:tmpl w:val="745A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76110"/>
    <w:multiLevelType w:val="hybridMultilevel"/>
    <w:tmpl w:val="45AA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006EC"/>
    <w:multiLevelType w:val="hybridMultilevel"/>
    <w:tmpl w:val="3880E900"/>
    <w:lvl w:ilvl="0" w:tplc="1BAC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74FFC"/>
    <w:multiLevelType w:val="hybridMultilevel"/>
    <w:tmpl w:val="7DCC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5D"/>
    <w:rsid w:val="0000324C"/>
    <w:rsid w:val="00390B40"/>
    <w:rsid w:val="003D2399"/>
    <w:rsid w:val="00422542"/>
    <w:rsid w:val="00452CE8"/>
    <w:rsid w:val="004954B5"/>
    <w:rsid w:val="005A2FD5"/>
    <w:rsid w:val="00747B52"/>
    <w:rsid w:val="00791D99"/>
    <w:rsid w:val="00861811"/>
    <w:rsid w:val="008F6FFC"/>
    <w:rsid w:val="009114A8"/>
    <w:rsid w:val="00984BFF"/>
    <w:rsid w:val="009976E6"/>
    <w:rsid w:val="00A32FFD"/>
    <w:rsid w:val="00A66424"/>
    <w:rsid w:val="00AC041B"/>
    <w:rsid w:val="00AC051E"/>
    <w:rsid w:val="00B33B0A"/>
    <w:rsid w:val="00B75686"/>
    <w:rsid w:val="00B95B5D"/>
    <w:rsid w:val="00BA42AE"/>
    <w:rsid w:val="00BD3787"/>
    <w:rsid w:val="00D245B8"/>
    <w:rsid w:val="00D33C51"/>
    <w:rsid w:val="00DB6FB4"/>
    <w:rsid w:val="00EE4B40"/>
    <w:rsid w:val="00EF415D"/>
    <w:rsid w:val="00EF443E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5CBA-AAB2-4374-8E40-3BFBED13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5D"/>
    <w:pPr>
      <w:ind w:left="720"/>
      <w:contextualSpacing/>
    </w:pPr>
  </w:style>
  <w:style w:type="table" w:styleId="TableGrid">
    <w:name w:val="Table Grid"/>
    <w:basedOn w:val="TableNormal"/>
    <w:uiPriority w:val="59"/>
    <w:rsid w:val="00B95B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5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Burrell, LaWanda N</dc:creator>
  <cp:keywords/>
  <dc:description/>
  <cp:lastModifiedBy>Perretto, Michael</cp:lastModifiedBy>
  <cp:revision>4</cp:revision>
  <dcterms:created xsi:type="dcterms:W3CDTF">2016-06-10T18:09:00Z</dcterms:created>
  <dcterms:modified xsi:type="dcterms:W3CDTF">2016-06-10T19:15:00Z</dcterms:modified>
</cp:coreProperties>
</file>