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8CEBDBA" w14:textId="1E096552" w:rsidR="00005DF6" w:rsidRDefault="00643825" w:rsidP="0037194D">
      <w:pPr>
        <w:spacing w:after="0"/>
        <w:jc w:val="right"/>
        <w:rPr>
          <w:rFonts w:asciiTheme="minorHAnsi" w:hAnsiTheme="minorHAnsi" w:cstheme="minorHAnsi"/>
          <w:color w:val="002060"/>
          <w:sz w:val="40"/>
          <w:szCs w:val="40"/>
        </w:rPr>
      </w:pPr>
      <w:r>
        <w:rPr>
          <w:rFonts w:asciiTheme="minorHAnsi" w:hAnsiTheme="minorHAnsi" w:cstheme="minorHAnsi"/>
          <w:color w:val="002060"/>
          <w:sz w:val="40"/>
          <w:szCs w:val="40"/>
        </w:rPr>
        <w:t>Strategies for the Successful Student</w:t>
      </w:r>
      <w:r w:rsidR="0037194D">
        <w:rPr>
          <w:rFonts w:asciiTheme="minorHAnsi" w:hAnsiTheme="minorHAnsi" w:cstheme="minorHAnsi"/>
          <w:color w:val="002060"/>
          <w:sz w:val="40"/>
          <w:szCs w:val="40"/>
        </w:rPr>
        <w:t>:</w:t>
      </w:r>
    </w:p>
    <w:p w14:paraId="66258733" w14:textId="48C08DB6" w:rsidR="0037194D" w:rsidRPr="0037194D" w:rsidRDefault="0037194D" w:rsidP="0037194D">
      <w:pPr>
        <w:spacing w:after="0"/>
        <w:jc w:val="right"/>
        <w:rPr>
          <w:rFonts w:asciiTheme="minorHAnsi" w:hAnsiTheme="minorHAnsi" w:cstheme="minorHAnsi"/>
          <w:color w:val="002060"/>
          <w:sz w:val="32"/>
          <w:szCs w:val="40"/>
        </w:rPr>
      </w:pPr>
      <w:r w:rsidRPr="0037194D">
        <w:rPr>
          <w:rFonts w:asciiTheme="minorHAnsi" w:hAnsiTheme="minorHAnsi" w:cstheme="minorHAnsi"/>
          <w:color w:val="002060"/>
          <w:sz w:val="32"/>
          <w:szCs w:val="40"/>
        </w:rPr>
        <w:t xml:space="preserve">ETS </w:t>
      </w:r>
      <w:proofErr w:type="spellStart"/>
      <w:r w:rsidRPr="0037194D">
        <w:rPr>
          <w:rFonts w:asciiTheme="minorHAnsi" w:hAnsiTheme="minorHAnsi" w:cstheme="minorHAnsi"/>
          <w:color w:val="002060"/>
          <w:sz w:val="32"/>
          <w:szCs w:val="40"/>
        </w:rPr>
        <w:t>SuccessNavigator</w:t>
      </w:r>
      <w:proofErr w:type="spellEnd"/>
      <w:r w:rsidRPr="0037194D">
        <w:rPr>
          <w:rFonts w:asciiTheme="minorHAnsi" w:hAnsiTheme="minorHAnsi" w:cstheme="minorHAnsi"/>
          <w:color w:val="002060"/>
          <w:sz w:val="32"/>
          <w:szCs w:val="40"/>
        </w:rPr>
        <w:t xml:space="preserve"> Assessment and Coaching Meeting</w:t>
      </w:r>
    </w:p>
    <w:p w14:paraId="6E51652E" w14:textId="30F5FF31" w:rsidR="00F92065" w:rsidRPr="00F10BB5" w:rsidRDefault="00005DF6" w:rsidP="0051752A">
      <w:pPr>
        <w:pStyle w:val="Heading1"/>
      </w:pPr>
      <w:r w:rsidRPr="00F10BB5">
        <w:t>Purpose</w:t>
      </w:r>
      <w:r w:rsidR="002614E6">
        <w:t xml:space="preserve"> </w:t>
      </w:r>
    </w:p>
    <w:p w14:paraId="72E6A458" w14:textId="3D6EF344" w:rsidR="00341ACB" w:rsidRPr="00341ACB" w:rsidRDefault="00D66351" w:rsidP="0051752A">
      <w:pPr>
        <w:spacing w:after="80" w:line="240" w:lineRule="auto"/>
        <w:rPr>
          <w:rFonts w:asciiTheme="minorHAnsi" w:eastAsia="Times New Roman" w:hAnsiTheme="minorHAnsi"/>
          <w:color w:val="002060"/>
        </w:rPr>
      </w:pPr>
      <w:r>
        <w:rPr>
          <w:rFonts w:asciiTheme="minorHAnsi" w:eastAsia="Times New Roman" w:hAnsiTheme="minorHAnsi"/>
          <w:color w:val="002060"/>
        </w:rPr>
        <w:t>The</w:t>
      </w:r>
      <w:r w:rsidR="006E7FC8">
        <w:rPr>
          <w:rFonts w:asciiTheme="minorHAnsi" w:eastAsia="Times New Roman" w:hAnsiTheme="minorHAnsi"/>
          <w:color w:val="002060"/>
        </w:rPr>
        <w:t xml:space="preserve"> ETS </w:t>
      </w:r>
      <w:proofErr w:type="spellStart"/>
      <w:r>
        <w:rPr>
          <w:rFonts w:asciiTheme="minorHAnsi" w:eastAsia="Times New Roman" w:hAnsiTheme="minorHAnsi"/>
          <w:color w:val="002060"/>
        </w:rPr>
        <w:t>Success</w:t>
      </w:r>
      <w:r w:rsidR="006E7FC8">
        <w:rPr>
          <w:rFonts w:asciiTheme="minorHAnsi" w:eastAsia="Times New Roman" w:hAnsiTheme="minorHAnsi"/>
          <w:color w:val="002060"/>
        </w:rPr>
        <w:t>Navigator</w:t>
      </w:r>
      <w:proofErr w:type="spellEnd"/>
      <w:r w:rsidR="006E7FC8">
        <w:rPr>
          <w:rFonts w:asciiTheme="minorHAnsi" w:eastAsia="Times New Roman" w:hAnsiTheme="minorHAnsi"/>
          <w:color w:val="002060"/>
        </w:rPr>
        <w:t xml:space="preserve"> Assessment and first Coaching Meeting </w:t>
      </w:r>
      <w:r>
        <w:rPr>
          <w:rFonts w:asciiTheme="minorHAnsi" w:eastAsia="Times New Roman" w:hAnsiTheme="minorHAnsi"/>
          <w:color w:val="002060"/>
        </w:rPr>
        <w:t xml:space="preserve">are vital </w:t>
      </w:r>
      <w:r w:rsidR="00FD7125">
        <w:rPr>
          <w:rFonts w:asciiTheme="minorHAnsi" w:eastAsia="Times New Roman" w:hAnsiTheme="minorHAnsi"/>
          <w:color w:val="002060"/>
        </w:rPr>
        <w:t>to establish</w:t>
      </w:r>
      <w:r>
        <w:rPr>
          <w:rFonts w:asciiTheme="minorHAnsi" w:eastAsia="Times New Roman" w:hAnsiTheme="minorHAnsi"/>
          <w:color w:val="002060"/>
        </w:rPr>
        <w:t>ing a firm foundation for</w:t>
      </w:r>
      <w:r w:rsidR="0037194D">
        <w:rPr>
          <w:rFonts w:asciiTheme="minorHAnsi" w:eastAsia="Times New Roman" w:hAnsiTheme="minorHAnsi"/>
          <w:color w:val="002060"/>
        </w:rPr>
        <w:t xml:space="preserve"> the</w:t>
      </w:r>
      <w:r>
        <w:rPr>
          <w:rFonts w:asciiTheme="minorHAnsi" w:eastAsia="Times New Roman" w:hAnsiTheme="minorHAnsi"/>
          <w:color w:val="002060"/>
        </w:rPr>
        <w:t xml:space="preserve"> success of</w:t>
      </w:r>
      <w:r w:rsidR="00FD7125">
        <w:rPr>
          <w:rFonts w:asciiTheme="minorHAnsi" w:eastAsia="Times New Roman" w:hAnsiTheme="minorHAnsi"/>
          <w:color w:val="002060"/>
        </w:rPr>
        <w:t xml:space="preserve"> student</w:t>
      </w:r>
      <w:r>
        <w:rPr>
          <w:rFonts w:asciiTheme="minorHAnsi" w:eastAsia="Times New Roman" w:hAnsiTheme="minorHAnsi"/>
          <w:color w:val="002060"/>
        </w:rPr>
        <w:t>s</w:t>
      </w:r>
      <w:r w:rsidR="00FD7125">
        <w:rPr>
          <w:rFonts w:asciiTheme="minorHAnsi" w:eastAsia="Times New Roman" w:hAnsiTheme="minorHAnsi"/>
          <w:color w:val="002060"/>
        </w:rPr>
        <w:t xml:space="preserve"> at Chamberlain</w:t>
      </w:r>
      <w:r>
        <w:rPr>
          <w:rFonts w:asciiTheme="minorHAnsi" w:eastAsia="Times New Roman" w:hAnsiTheme="minorHAnsi"/>
          <w:color w:val="002060"/>
        </w:rPr>
        <w:t xml:space="preserve"> College of Nursing</w:t>
      </w:r>
      <w:r w:rsidR="00FD7125">
        <w:rPr>
          <w:rFonts w:asciiTheme="minorHAnsi" w:eastAsia="Times New Roman" w:hAnsiTheme="minorHAnsi"/>
          <w:color w:val="002060"/>
        </w:rPr>
        <w:t>.</w:t>
      </w:r>
      <w:r w:rsidR="00341ACB" w:rsidRPr="00F10BB5">
        <w:rPr>
          <w:rFonts w:asciiTheme="minorHAnsi" w:eastAsia="Times New Roman" w:hAnsiTheme="minorHAnsi"/>
          <w:color w:val="002060"/>
        </w:rPr>
        <w:t xml:space="preserve"> </w:t>
      </w:r>
      <w:r w:rsidRPr="00341ACB">
        <w:rPr>
          <w:rFonts w:asciiTheme="minorHAnsi" w:eastAsia="Times New Roman" w:hAnsiTheme="minorHAnsi"/>
          <w:color w:val="002060"/>
        </w:rPr>
        <w:t>The purpose of th</w:t>
      </w:r>
      <w:r w:rsidRPr="00F10BB5">
        <w:rPr>
          <w:rFonts w:asciiTheme="minorHAnsi" w:eastAsia="Times New Roman" w:hAnsiTheme="minorHAnsi"/>
          <w:color w:val="002060"/>
        </w:rPr>
        <w:t>ese</w:t>
      </w:r>
      <w:r>
        <w:rPr>
          <w:rFonts w:asciiTheme="minorHAnsi" w:eastAsia="Times New Roman" w:hAnsiTheme="minorHAnsi"/>
          <w:color w:val="002060"/>
        </w:rPr>
        <w:t xml:space="preserve"> related</w:t>
      </w:r>
      <w:r w:rsidRPr="00F10BB5">
        <w:rPr>
          <w:rFonts w:asciiTheme="minorHAnsi" w:eastAsia="Times New Roman" w:hAnsiTheme="minorHAnsi"/>
          <w:color w:val="002060"/>
        </w:rPr>
        <w:t xml:space="preserve"> assignments is to </w:t>
      </w:r>
      <w:r>
        <w:rPr>
          <w:rFonts w:asciiTheme="minorHAnsi" w:eastAsia="Times New Roman" w:hAnsiTheme="minorHAnsi"/>
          <w:color w:val="002060"/>
        </w:rPr>
        <w:t xml:space="preserve">guide students through these activities during </w:t>
      </w:r>
      <w:r w:rsidR="00E22035">
        <w:rPr>
          <w:rFonts w:asciiTheme="minorHAnsi" w:eastAsia="Times New Roman" w:hAnsiTheme="minorHAnsi"/>
          <w:color w:val="002060"/>
        </w:rPr>
        <w:t>the NR103 Transitions to the Nursing Profession</w:t>
      </w:r>
      <w:r>
        <w:rPr>
          <w:rFonts w:asciiTheme="minorHAnsi" w:eastAsia="Times New Roman" w:hAnsiTheme="minorHAnsi"/>
          <w:color w:val="002060"/>
        </w:rPr>
        <w:t xml:space="preserve"> course.</w:t>
      </w:r>
    </w:p>
    <w:p w14:paraId="153BA707" w14:textId="77777777" w:rsidR="00C940CF" w:rsidRPr="00F10BB5" w:rsidRDefault="00C940CF" w:rsidP="00466061">
      <w:pPr>
        <w:spacing w:after="0" w:line="240" w:lineRule="auto"/>
        <w:rPr>
          <w:rFonts w:asciiTheme="minorHAnsi" w:hAnsiTheme="minorHAnsi" w:cstheme="minorHAnsi"/>
          <w:color w:val="002060"/>
        </w:rPr>
      </w:pPr>
    </w:p>
    <w:p w14:paraId="2C83701E" w14:textId="33CB47EE" w:rsidR="00341ACB" w:rsidRPr="00F10BB5" w:rsidRDefault="001428EA" w:rsidP="0010572C">
      <w:pPr>
        <w:pStyle w:val="Heading1"/>
        <w:rPr>
          <w:sz w:val="20"/>
          <w:szCs w:val="20"/>
        </w:rPr>
      </w:pPr>
      <w:r w:rsidRPr="00F10BB5">
        <w:t>Course Outcomes</w:t>
      </w:r>
      <w:r w:rsidR="006E7FC8">
        <w:t>:</w:t>
      </w:r>
      <w:r w:rsidR="00660C59" w:rsidRPr="00F10BB5">
        <w:t xml:space="preserve"> </w:t>
      </w:r>
      <w:r w:rsidRPr="0051752A">
        <w:rPr>
          <w:rFonts w:eastAsia="Times New Roman" w:cs="Times New Roman"/>
          <w:b w:val="0"/>
          <w:smallCaps w:val="0"/>
          <w:spacing w:val="0"/>
          <w:sz w:val="22"/>
          <w:szCs w:val="22"/>
        </w:rPr>
        <w:t>This assignment enables the student to meet the following course outcomes</w:t>
      </w:r>
      <w:r w:rsidR="00660C59" w:rsidRPr="0051752A">
        <w:rPr>
          <w:rFonts w:eastAsia="Times New Roman" w:cs="Times New Roman"/>
          <w:b w:val="0"/>
          <w:smallCaps w:val="0"/>
          <w:spacing w:val="0"/>
          <w:sz w:val="22"/>
          <w:szCs w:val="22"/>
        </w:rPr>
        <w:t>.</w:t>
      </w:r>
      <w:r w:rsidRPr="00F10BB5">
        <w:rPr>
          <w:sz w:val="20"/>
          <w:szCs w:val="20"/>
        </w:rPr>
        <w:t xml:space="preserve"> </w:t>
      </w:r>
    </w:p>
    <w:p w14:paraId="0B75655E" w14:textId="02BF1A32" w:rsidR="00341ACB" w:rsidRPr="00466061" w:rsidRDefault="00341ACB" w:rsidP="0046606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/>
          <w:color w:val="002060"/>
        </w:rPr>
      </w:pPr>
      <w:r w:rsidRPr="00F10BB5">
        <w:rPr>
          <w:rFonts w:asciiTheme="minorHAnsi" w:hAnsiTheme="minorHAnsi"/>
          <w:color w:val="002060"/>
        </w:rPr>
        <w:t>Implement skills for successful scholarship including effective study skills, note taking, active listening, and learning preferences. (POs 5 and 7)</w:t>
      </w:r>
    </w:p>
    <w:p w14:paraId="7586E5DE" w14:textId="1BD74172" w:rsidR="00341ACB" w:rsidRPr="00466061" w:rsidRDefault="00341ACB" w:rsidP="0046606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/>
          <w:color w:val="002060"/>
        </w:rPr>
      </w:pPr>
      <w:r w:rsidRPr="00F10BB5">
        <w:rPr>
          <w:rFonts w:asciiTheme="minorHAnsi" w:hAnsiTheme="minorHAnsi"/>
          <w:color w:val="002060"/>
        </w:rPr>
        <w:t>Identify characteristics of professional behavior, including emotional i</w:t>
      </w:r>
      <w:r w:rsidR="00466061">
        <w:rPr>
          <w:rFonts w:asciiTheme="minorHAnsi" w:hAnsiTheme="minorHAnsi"/>
          <w:color w:val="002060"/>
        </w:rPr>
        <w:t xml:space="preserve">ntelligence, communication, and </w:t>
      </w:r>
      <w:r w:rsidRPr="00466061">
        <w:rPr>
          <w:rFonts w:asciiTheme="minorHAnsi" w:hAnsiTheme="minorHAnsi"/>
          <w:color w:val="002060"/>
        </w:rPr>
        <w:t>conflict resolution. (POs 3, 5, and 6)</w:t>
      </w:r>
    </w:p>
    <w:p w14:paraId="12B89664" w14:textId="493F2661" w:rsidR="00341ACB" w:rsidRPr="00466061" w:rsidRDefault="00341ACB" w:rsidP="0046606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/>
          <w:color w:val="002060"/>
        </w:rPr>
      </w:pPr>
      <w:r w:rsidRPr="00466061">
        <w:rPr>
          <w:rFonts w:asciiTheme="minorHAnsi" w:hAnsiTheme="minorHAnsi"/>
          <w:color w:val="002060"/>
        </w:rPr>
        <w:t>Demonstrate information literacy and the ability to utilize resources. (POs 3, 5, and 8)</w:t>
      </w:r>
    </w:p>
    <w:p w14:paraId="4E6E2E54" w14:textId="77777777" w:rsidR="00341ACB" w:rsidRPr="00A16DA1" w:rsidRDefault="00341ACB" w:rsidP="00466061">
      <w:pPr>
        <w:spacing w:after="0" w:line="240" w:lineRule="auto"/>
        <w:rPr>
          <w:rFonts w:asciiTheme="minorHAnsi" w:hAnsiTheme="minorHAnsi" w:cstheme="minorHAnsi"/>
          <w:b/>
          <w:smallCaps/>
          <w:color w:val="002060"/>
          <w:spacing w:val="5"/>
          <w:szCs w:val="32"/>
        </w:rPr>
      </w:pPr>
    </w:p>
    <w:p w14:paraId="73F4289A" w14:textId="77777777" w:rsidR="00C940CF" w:rsidRPr="00F10BB5" w:rsidRDefault="001428EA" w:rsidP="00466061">
      <w:pPr>
        <w:spacing w:after="80" w:line="240" w:lineRule="auto"/>
        <w:rPr>
          <w:rFonts w:asciiTheme="minorHAnsi" w:hAnsiTheme="minorHAnsi" w:cstheme="minorHAnsi"/>
          <w:b/>
          <w:color w:val="002060"/>
          <w:spacing w:val="5"/>
          <w:sz w:val="32"/>
          <w:szCs w:val="32"/>
        </w:rPr>
      </w:pPr>
      <w:r w:rsidRPr="00F10BB5">
        <w:rPr>
          <w:rFonts w:asciiTheme="minorHAnsi" w:hAnsiTheme="minorHAnsi" w:cstheme="minorHAnsi"/>
          <w:b/>
          <w:smallCaps/>
          <w:color w:val="002060"/>
          <w:spacing w:val="5"/>
          <w:sz w:val="32"/>
          <w:szCs w:val="32"/>
        </w:rPr>
        <w:t>Due Date</w:t>
      </w:r>
    </w:p>
    <w:p w14:paraId="16CE1FE8" w14:textId="7171D786" w:rsidR="00466061" w:rsidRDefault="00660C59" w:rsidP="00466061">
      <w:pPr>
        <w:spacing w:after="80" w:line="240" w:lineRule="auto"/>
        <w:rPr>
          <w:rFonts w:asciiTheme="minorHAnsi" w:hAnsiTheme="minorHAnsi" w:cstheme="minorHAnsi"/>
          <w:color w:val="002060"/>
          <w:spacing w:val="5"/>
        </w:rPr>
      </w:pPr>
      <w:r w:rsidRPr="00F10BB5">
        <w:rPr>
          <w:rFonts w:asciiTheme="minorHAnsi" w:hAnsiTheme="minorHAnsi" w:cstheme="minorHAnsi"/>
          <w:color w:val="002060"/>
          <w:spacing w:val="5"/>
        </w:rPr>
        <w:t xml:space="preserve">Refer </w:t>
      </w:r>
      <w:r w:rsidR="00D66351">
        <w:rPr>
          <w:rFonts w:asciiTheme="minorHAnsi" w:hAnsiTheme="minorHAnsi" w:cstheme="minorHAnsi"/>
          <w:color w:val="002060"/>
          <w:spacing w:val="5"/>
        </w:rPr>
        <w:t>to Course Calendar for details.</w:t>
      </w:r>
    </w:p>
    <w:p w14:paraId="71FD420A" w14:textId="7CAAB43C" w:rsidR="000559BD" w:rsidRPr="00466061" w:rsidRDefault="000559BD" w:rsidP="00466061">
      <w:pPr>
        <w:spacing w:after="80" w:line="240" w:lineRule="auto"/>
        <w:rPr>
          <w:rFonts w:asciiTheme="minorHAnsi" w:hAnsiTheme="minorHAnsi" w:cstheme="minorHAnsi"/>
          <w:color w:val="002060"/>
          <w:spacing w:val="5"/>
        </w:rPr>
      </w:pPr>
      <w:r w:rsidRPr="00F10BB5">
        <w:rPr>
          <w:rFonts w:asciiTheme="minorHAnsi" w:hAnsiTheme="minorHAnsi" w:cstheme="minorHAnsi"/>
          <w:b/>
          <w:smallCaps/>
          <w:color w:val="002060"/>
          <w:spacing w:val="5"/>
          <w:sz w:val="32"/>
          <w:szCs w:val="32"/>
        </w:rPr>
        <w:t>Total Points Possible</w:t>
      </w:r>
    </w:p>
    <w:p w14:paraId="4DD25901" w14:textId="03817FAE" w:rsidR="00341ACB" w:rsidRPr="0051752A" w:rsidRDefault="00FD7125" w:rsidP="0051752A">
      <w:pPr>
        <w:pStyle w:val="ListParagraph"/>
        <w:numPr>
          <w:ilvl w:val="0"/>
          <w:numId w:val="31"/>
        </w:numPr>
        <w:spacing w:after="80" w:line="240" w:lineRule="auto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100 points</w:t>
      </w:r>
    </w:p>
    <w:p w14:paraId="19AD6C35" w14:textId="77777777" w:rsidR="001428EA" w:rsidRPr="00F10BB5" w:rsidRDefault="001428EA" w:rsidP="0010572C">
      <w:pPr>
        <w:pStyle w:val="Heading1"/>
      </w:pPr>
      <w:r w:rsidRPr="00F10BB5">
        <w:t>Requirements</w:t>
      </w:r>
    </w:p>
    <w:p w14:paraId="3EA51695" w14:textId="23B40059" w:rsidR="00E16418" w:rsidRDefault="00E02BFB" w:rsidP="00E16418">
      <w:pPr>
        <w:pStyle w:val="ListParagraph"/>
        <w:numPr>
          <w:ilvl w:val="0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Complete </w:t>
      </w:r>
      <w:r w:rsidR="00E16418">
        <w:rPr>
          <w:rFonts w:asciiTheme="minorHAnsi" w:hAnsiTheme="minorHAnsi"/>
          <w:color w:val="002060"/>
        </w:rPr>
        <w:t>the ETS Navigator Assessment</w:t>
      </w:r>
      <w:r>
        <w:rPr>
          <w:rFonts w:asciiTheme="minorHAnsi" w:hAnsiTheme="minorHAnsi"/>
          <w:color w:val="002060"/>
        </w:rPr>
        <w:t xml:space="preserve"> </w:t>
      </w:r>
    </w:p>
    <w:p w14:paraId="611A05C2" w14:textId="2BEE4C8A" w:rsidR="00E16418" w:rsidRDefault="00E16418" w:rsidP="0051752A">
      <w:pPr>
        <w:pStyle w:val="ListParagraph"/>
        <w:numPr>
          <w:ilvl w:val="1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Take your time and answer all questions honestly to get the most accurate assessment with feedback specific to your current needs.</w:t>
      </w:r>
    </w:p>
    <w:p w14:paraId="59EA62A7" w14:textId="0F68EC25" w:rsidR="00E16418" w:rsidRDefault="00E16418" w:rsidP="0051752A">
      <w:pPr>
        <w:pStyle w:val="ListParagraph"/>
        <w:numPr>
          <w:ilvl w:val="2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Your assessment will be nullified (not counted) if</w:t>
      </w:r>
    </w:p>
    <w:p w14:paraId="17075587" w14:textId="40F92945" w:rsidR="00E16418" w:rsidRDefault="00E16418" w:rsidP="00ED683C">
      <w:pPr>
        <w:pStyle w:val="ListParagraph"/>
        <w:numPr>
          <w:ilvl w:val="3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you complete the assessment in six (6) minutes or less, or</w:t>
      </w:r>
    </w:p>
    <w:p w14:paraId="7AE3F85E" w14:textId="53E0D2E8" w:rsidR="00E16418" w:rsidRDefault="00E16418" w:rsidP="00ED683C">
      <w:pPr>
        <w:pStyle w:val="ListParagraph"/>
        <w:numPr>
          <w:ilvl w:val="3"/>
          <w:numId w:val="29"/>
        </w:numPr>
        <w:rPr>
          <w:rFonts w:asciiTheme="minorHAnsi" w:hAnsiTheme="minorHAnsi"/>
          <w:color w:val="002060"/>
        </w:rPr>
      </w:pPr>
      <w:proofErr w:type="gramStart"/>
      <w:r>
        <w:rPr>
          <w:rFonts w:asciiTheme="minorHAnsi" w:hAnsiTheme="minorHAnsi"/>
          <w:color w:val="002060"/>
        </w:rPr>
        <w:t>you</w:t>
      </w:r>
      <w:proofErr w:type="gramEnd"/>
      <w:r>
        <w:rPr>
          <w:rFonts w:asciiTheme="minorHAnsi" w:hAnsiTheme="minorHAnsi"/>
          <w:color w:val="002060"/>
        </w:rPr>
        <w:t xml:space="preserve"> select too many similar answers in a row.</w:t>
      </w:r>
    </w:p>
    <w:p w14:paraId="47084531" w14:textId="33906555" w:rsidR="00E02BFB" w:rsidRDefault="00E02BFB" w:rsidP="0042278D">
      <w:pPr>
        <w:pStyle w:val="ListParagraph"/>
        <w:numPr>
          <w:ilvl w:val="0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Review the ETS Navigator Report</w:t>
      </w:r>
    </w:p>
    <w:p w14:paraId="4B10D323" w14:textId="61F7F482" w:rsidR="002A77BC" w:rsidRDefault="00E02BFB" w:rsidP="0042278D">
      <w:pPr>
        <w:pStyle w:val="ListParagraph"/>
        <w:numPr>
          <w:ilvl w:val="0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Attend </w:t>
      </w:r>
      <w:r w:rsidR="00D66351">
        <w:rPr>
          <w:rFonts w:asciiTheme="minorHAnsi" w:hAnsiTheme="minorHAnsi"/>
          <w:color w:val="002060"/>
        </w:rPr>
        <w:t xml:space="preserve">the </w:t>
      </w:r>
      <w:r>
        <w:rPr>
          <w:rFonts w:asciiTheme="minorHAnsi" w:hAnsiTheme="minorHAnsi"/>
          <w:color w:val="002060"/>
        </w:rPr>
        <w:t>meeting with your coaching team, as scheduled, during Week 5.</w:t>
      </w:r>
    </w:p>
    <w:p w14:paraId="51D81F05" w14:textId="61156F07" w:rsidR="00E02BFB" w:rsidRDefault="00E02BFB" w:rsidP="008E0BA2">
      <w:pPr>
        <w:pStyle w:val="ListParagraph"/>
        <w:numPr>
          <w:ilvl w:val="1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Your coach/s will review your academic risk factor with you, as well as strategize ways for you </w:t>
      </w:r>
      <w:r w:rsidR="004B0CBE">
        <w:rPr>
          <w:rFonts w:asciiTheme="minorHAnsi" w:hAnsiTheme="minorHAnsi"/>
          <w:color w:val="002060"/>
        </w:rPr>
        <w:t>get past any barriers to your success in nursing school.</w:t>
      </w:r>
    </w:p>
    <w:p w14:paraId="2A4CD85F" w14:textId="66708D27" w:rsidR="004B0CBE" w:rsidRPr="0042278D" w:rsidRDefault="004B0CBE" w:rsidP="008E0BA2">
      <w:pPr>
        <w:pStyle w:val="ListParagraph"/>
        <w:numPr>
          <w:ilvl w:val="1"/>
          <w:numId w:val="29"/>
        </w:numPr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This coaching session is the first of many that will happen during your time in school, not a one-time event. Being prepared for the session is in your best interest, so talk with your faculty member if you have questions.</w:t>
      </w:r>
    </w:p>
    <w:p w14:paraId="38CA095A" w14:textId="77777777" w:rsidR="000115BD" w:rsidRDefault="000115BD" w:rsidP="0010572C">
      <w:pPr>
        <w:pStyle w:val="Heading1"/>
      </w:pPr>
    </w:p>
    <w:p w14:paraId="39D580DC" w14:textId="77777777" w:rsidR="000115BD" w:rsidRDefault="000115BD" w:rsidP="0010572C">
      <w:pPr>
        <w:pStyle w:val="Heading1"/>
      </w:pPr>
    </w:p>
    <w:p w14:paraId="5F80B3DD" w14:textId="100BCA37" w:rsidR="00F92065" w:rsidRPr="00F10BB5" w:rsidRDefault="009D3A9E" w:rsidP="0010572C">
      <w:pPr>
        <w:pStyle w:val="Heading1"/>
      </w:pPr>
      <w:r w:rsidRPr="00F10BB5">
        <w:t xml:space="preserve">Directions and </w:t>
      </w:r>
      <w:r w:rsidR="007D2771" w:rsidRPr="00F10BB5">
        <w:t>Assignment</w:t>
      </w:r>
      <w:r w:rsidR="00F92065" w:rsidRPr="00F10BB5">
        <w:t xml:space="preserve"> Criteria</w:t>
      </w:r>
    </w:p>
    <w:tbl>
      <w:tblPr>
        <w:tblStyle w:val="LightList-Accent2"/>
        <w:tblW w:w="5078" w:type="pct"/>
        <w:tblInd w:w="-33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87"/>
        <w:gridCol w:w="958"/>
        <w:gridCol w:w="893"/>
        <w:gridCol w:w="5632"/>
      </w:tblGrid>
      <w:tr w:rsidR="00525F74" w:rsidRPr="00F10BB5" w14:paraId="766CCE0F" w14:textId="77777777" w:rsidTr="00F40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6781106E" w14:textId="77777777" w:rsidR="00F92065" w:rsidRPr="00F10BB5" w:rsidRDefault="00105B8D" w:rsidP="00466061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10BB5">
              <w:rPr>
                <w:rFonts w:asciiTheme="minorHAnsi" w:eastAsia="Times New Roman" w:hAnsiTheme="minorHAnsi" w:cstheme="minorHAnsi"/>
                <w:sz w:val="28"/>
                <w:szCs w:val="28"/>
              </w:rPr>
              <w:t>Assignment Criteria</w:t>
            </w:r>
          </w:p>
        </w:tc>
        <w:tc>
          <w:tcPr>
            <w:tcW w:w="471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5D60426C" w14:textId="77777777" w:rsidR="00F92065" w:rsidRPr="00F10BB5" w:rsidRDefault="00F92065" w:rsidP="004660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10BB5">
              <w:rPr>
                <w:rFonts w:asciiTheme="minorHAnsi" w:eastAsia="Times New Roman" w:hAnsiTheme="minorHAnsi" w:cstheme="minorHAnsi"/>
                <w:sz w:val="28"/>
                <w:szCs w:val="28"/>
              </w:rPr>
              <w:t>Points</w:t>
            </w:r>
          </w:p>
        </w:tc>
        <w:tc>
          <w:tcPr>
            <w:tcW w:w="439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50E109BE" w14:textId="77777777" w:rsidR="00F92065" w:rsidRPr="00F10BB5" w:rsidRDefault="00F92065" w:rsidP="004660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10BB5">
              <w:rPr>
                <w:rFonts w:asciiTheme="minorHAnsi" w:eastAsia="Times New Roman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2769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  <w:hideMark/>
          </w:tcPr>
          <w:p w14:paraId="643F9610" w14:textId="77777777" w:rsidR="00F92065" w:rsidRPr="00F10BB5" w:rsidRDefault="00F92065" w:rsidP="004660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10BB5">
              <w:rPr>
                <w:rFonts w:asciiTheme="minorHAnsi" w:eastAsia="Times New Roman" w:hAnsiTheme="minorHAnsi" w:cstheme="minorHAnsi"/>
                <w:sz w:val="28"/>
                <w:szCs w:val="28"/>
              </w:rPr>
              <w:t>Description</w:t>
            </w:r>
          </w:p>
        </w:tc>
      </w:tr>
      <w:tr w:rsidR="00D33B06" w:rsidRPr="00F342C8" w14:paraId="03AD76C1" w14:textId="77777777" w:rsidTr="00F4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0504" w14:textId="0A842F21" w:rsidR="00D33B06" w:rsidRPr="0042278D" w:rsidRDefault="00341ACB" w:rsidP="00466061">
            <w:pPr>
              <w:spacing w:after="120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42278D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 xml:space="preserve">Complete ETS </w:t>
            </w:r>
            <w:r w:rsidR="0042278D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 xml:space="preserve">Navigator </w:t>
            </w:r>
            <w:r w:rsidRPr="0042278D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Assessment</w:t>
            </w:r>
          </w:p>
        </w:tc>
        <w:tc>
          <w:tcPr>
            <w:tcW w:w="471" w:type="pct"/>
            <w:tcBorders>
              <w:top w:val="thinThickLargeGap" w:sz="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5620" w14:textId="5F8427AA" w:rsidR="00D33B06" w:rsidRPr="0042278D" w:rsidRDefault="008E0BA2" w:rsidP="004660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39" w:type="pct"/>
            <w:tcBorders>
              <w:top w:val="thinThickLargeGap" w:sz="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E424" w14:textId="4747A9C1" w:rsidR="00D33B06" w:rsidRPr="0042278D" w:rsidRDefault="005128AA" w:rsidP="0042278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="008E0BA2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  <w:r w:rsidR="00341ACB" w:rsidRPr="0042278D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769" w:type="pct"/>
            <w:tcBorders>
              <w:top w:val="thinThickLargeGap" w:sz="8" w:space="0" w:color="002060"/>
              <w:left w:val="single" w:sz="4" w:space="0" w:color="auto"/>
              <w:bottom w:val="single" w:sz="4" w:space="0" w:color="auto"/>
              <w:right w:val="thinThickLargeGap" w:sz="8" w:space="0" w:color="002060"/>
            </w:tcBorders>
            <w:shd w:val="clear" w:color="auto" w:fill="auto"/>
          </w:tcPr>
          <w:p w14:paraId="59A7FCBD" w14:textId="77777777" w:rsidR="00D33B06" w:rsidRPr="0042278D" w:rsidRDefault="00341ACB" w:rsidP="0042278D">
            <w:pPr>
              <w:pStyle w:val="ListParagraph"/>
              <w:numPr>
                <w:ilvl w:val="0"/>
                <w:numId w:val="30"/>
              </w:numPr>
              <w:spacing w:after="120"/>
              <w:ind w:left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278D">
              <w:rPr>
                <w:rFonts w:asciiTheme="minorHAnsi" w:eastAsia="Times New Roman" w:hAnsiTheme="minorHAnsi" w:cstheme="minorHAnsi"/>
                <w:sz w:val="20"/>
                <w:szCs w:val="20"/>
              </w:rPr>
              <w:t>Complete ETS Success Navigator Assessment</w:t>
            </w:r>
          </w:p>
          <w:p w14:paraId="1C97B953" w14:textId="0B1E0CD9" w:rsidR="00341ACB" w:rsidRPr="0042278D" w:rsidRDefault="008E0BA2" w:rsidP="004B0CBE">
            <w:pPr>
              <w:pStyle w:val="ListParagraph"/>
              <w:numPr>
                <w:ilvl w:val="0"/>
                <w:numId w:val="30"/>
              </w:numPr>
              <w:spacing w:after="120"/>
              <w:ind w:left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Print a copy to share with faculty as instructed</w:t>
            </w:r>
          </w:p>
        </w:tc>
      </w:tr>
      <w:tr w:rsidR="008C7293" w:rsidRPr="00105B8D" w14:paraId="264EBFE1" w14:textId="77777777" w:rsidTr="00F40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9BA87B5" w14:textId="7990AD26" w:rsidR="00153037" w:rsidRDefault="00153037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Attend Coaching Meeting</w:t>
            </w:r>
          </w:p>
        </w:tc>
        <w:tc>
          <w:tcPr>
            <w:tcW w:w="471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23F4F1DD" w14:textId="69F09620" w:rsidR="008C7293" w:rsidRDefault="00153037" w:rsidP="001C79F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3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06EF6D3A" w14:textId="4DBC2C28" w:rsidR="008C7293" w:rsidRDefault="00153037" w:rsidP="001C79F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276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79461ABE" w14:textId="53C290A9" w:rsidR="00153037" w:rsidRPr="004471CA" w:rsidRDefault="00153037" w:rsidP="00153037">
            <w:pPr>
              <w:pStyle w:val="ListParagraph"/>
              <w:numPr>
                <w:ilvl w:val="0"/>
                <w:numId w:val="30"/>
              </w:numPr>
              <w:spacing w:after="120"/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Atten</w:t>
            </w:r>
            <w:r w:rsidR="004201BE">
              <w:rPr>
                <w:rFonts w:asciiTheme="minorHAnsi" w:eastAsia="Times New Roman" w:hAnsiTheme="minorHAnsi" w:cstheme="minorHAnsi"/>
                <w:sz w:val="20"/>
                <w:szCs w:val="20"/>
              </w:rPr>
              <w:t>d Coaching Meeting as scheduled</w:t>
            </w:r>
          </w:p>
          <w:p w14:paraId="247DCE2D" w14:textId="77777777" w:rsidR="00153037" w:rsidRDefault="00153037">
            <w:pPr>
              <w:pStyle w:val="ListParagraph"/>
              <w:numPr>
                <w:ilvl w:val="0"/>
                <w:numId w:val="30"/>
              </w:numPr>
              <w:spacing w:after="120"/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Review and sign Coaching Plan</w:t>
            </w:r>
          </w:p>
          <w:p w14:paraId="2A3DF78E" w14:textId="7A3C7DE6" w:rsidR="00153037" w:rsidRPr="00D66351" w:rsidRDefault="00153037">
            <w:pPr>
              <w:pStyle w:val="ListParagraph"/>
              <w:numPr>
                <w:ilvl w:val="0"/>
                <w:numId w:val="30"/>
              </w:numPr>
              <w:spacing w:after="120"/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66351">
              <w:rPr>
                <w:rFonts w:asciiTheme="minorHAnsi" w:eastAsia="Times New Roman" w:hAnsiTheme="minorHAnsi" w:cstheme="minorHAnsi"/>
                <w:sz w:val="20"/>
                <w:szCs w:val="20"/>
              </w:rPr>
              <w:t>Verify attendance at Coaching Mee</w:t>
            </w:r>
            <w:r w:rsidR="004201BE">
              <w:rPr>
                <w:rFonts w:asciiTheme="minorHAnsi" w:eastAsia="Times New Roman" w:hAnsiTheme="minorHAnsi" w:cstheme="minorHAnsi"/>
                <w:sz w:val="20"/>
                <w:szCs w:val="20"/>
              </w:rPr>
              <w:t>ting with faculty as instructed</w:t>
            </w:r>
          </w:p>
        </w:tc>
      </w:tr>
      <w:tr w:rsidR="0042278D" w:rsidRPr="00F342C8" w14:paraId="287D3E2E" w14:textId="77777777" w:rsidTr="00F4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pct"/>
            <w:tcBorders>
              <w:top w:val="single" w:sz="4" w:space="0" w:color="auto"/>
              <w:left w:val="thinThickLargeGap" w:sz="8" w:space="0" w:color="002060"/>
              <w:bottom w:val="thinThickLargeGap" w:sz="8" w:space="0" w:color="002060"/>
              <w:right w:val="single" w:sz="4" w:space="0" w:color="auto"/>
            </w:tcBorders>
            <w:shd w:val="clear" w:color="auto" w:fill="002060"/>
          </w:tcPr>
          <w:p w14:paraId="473FFEB7" w14:textId="56524BD1" w:rsidR="0042278D" w:rsidRPr="0042278D" w:rsidRDefault="0042278D" w:rsidP="0042278D">
            <w:pPr>
              <w:spacing w:after="120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42278D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Total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LargeGap" w:sz="8" w:space="0" w:color="002060"/>
              <w:right w:val="single" w:sz="4" w:space="0" w:color="auto"/>
            </w:tcBorders>
            <w:shd w:val="clear" w:color="auto" w:fill="002060"/>
          </w:tcPr>
          <w:p w14:paraId="7D1B9A07" w14:textId="1ADF871F" w:rsidR="0042278D" w:rsidRPr="0042278D" w:rsidRDefault="00153037" w:rsidP="0042278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LargeGap" w:sz="8" w:space="0" w:color="002060"/>
              <w:right w:val="single" w:sz="4" w:space="0" w:color="auto"/>
            </w:tcBorders>
            <w:shd w:val="clear" w:color="auto" w:fill="002060"/>
          </w:tcPr>
          <w:p w14:paraId="26F0FFCC" w14:textId="6431F972" w:rsidR="0042278D" w:rsidRPr="0042278D" w:rsidRDefault="0042278D" w:rsidP="0042278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42278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fldChar w:fldCharType="begin"/>
            </w:r>
            <w:r w:rsidRPr="0042278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instrText xml:space="preserve"> =SUM(ABOVE) </w:instrText>
            </w:r>
            <w:r w:rsidRPr="0042278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fldChar w:fldCharType="separate"/>
            </w:r>
            <w:r w:rsidRPr="0042278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100</w:t>
            </w:r>
            <w:r w:rsidRPr="0042278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fldChar w:fldCharType="end"/>
            </w:r>
            <w:r w:rsidRPr="0042278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14:paraId="0691F554" w14:textId="77777777" w:rsidR="0042278D" w:rsidRPr="0042278D" w:rsidRDefault="0042278D" w:rsidP="0042278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</w:tbl>
    <w:p w14:paraId="26C58566" w14:textId="77777777" w:rsidR="00E1721F" w:rsidRPr="00105B8D" w:rsidRDefault="00E1721F" w:rsidP="00466061">
      <w:pPr>
        <w:tabs>
          <w:tab w:val="left" w:pos="1860"/>
        </w:tabs>
        <w:sectPr w:rsidR="00E1721F" w:rsidRPr="00105B8D" w:rsidSect="00466061">
          <w:headerReference w:type="default" r:id="rId8"/>
          <w:footerReference w:type="default" r:id="rId9"/>
          <w:pgSz w:w="12240" w:h="15840"/>
          <w:pgMar w:top="1152" w:right="1080" w:bottom="1152" w:left="1080" w:header="432" w:footer="288" w:gutter="0"/>
          <w:cols w:space="720"/>
          <w:docGrid w:linePitch="360"/>
        </w:sectPr>
      </w:pPr>
    </w:p>
    <w:p w14:paraId="029B5627" w14:textId="4E7E80F1" w:rsidR="00F92065" w:rsidRDefault="00F92065" w:rsidP="0010572C">
      <w:pPr>
        <w:pStyle w:val="Heading1"/>
      </w:pPr>
      <w:r w:rsidRPr="006A11C0">
        <w:lastRenderedPageBreak/>
        <w:t xml:space="preserve">Grading </w:t>
      </w:r>
      <w:r w:rsidR="00443B3E" w:rsidRPr="006A11C0">
        <w:t>Rubric</w:t>
      </w:r>
    </w:p>
    <w:tbl>
      <w:tblPr>
        <w:tblStyle w:val="LightGrid-Accent2"/>
        <w:tblW w:w="10202" w:type="dxa"/>
        <w:tblInd w:w="-155" w:type="dxa"/>
        <w:tblBorders>
          <w:top w:val="thinThickLargeGap" w:sz="8" w:space="0" w:color="002060"/>
          <w:left w:val="thinThickLargeGap" w:sz="8" w:space="0" w:color="002060"/>
          <w:bottom w:val="thickThinLargeGap" w:sz="8" w:space="0" w:color="002060"/>
          <w:right w:val="thickThinLargeGap" w:sz="8" w:space="0" w:color="002060"/>
          <w:insideH w:val="single" w:sz="6" w:space="0" w:color="002060"/>
          <w:insideV w:val="single" w:sz="6" w:space="0" w:color="00206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7"/>
        <w:gridCol w:w="2415"/>
        <w:gridCol w:w="2160"/>
        <w:gridCol w:w="1710"/>
        <w:gridCol w:w="2520"/>
      </w:tblGrid>
      <w:tr w:rsidR="008422E2" w:rsidRPr="00EA1294" w14:paraId="5A157DCF" w14:textId="77777777" w:rsidTr="00D66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none" w:sz="0" w:space="0" w:color="auto"/>
              <w:left w:val="none" w:sz="0" w:space="0" w:color="auto"/>
              <w:bottom w:val="single" w:sz="6" w:space="0" w:color="002060"/>
              <w:right w:val="none" w:sz="0" w:space="0" w:color="auto"/>
            </w:tcBorders>
            <w:shd w:val="clear" w:color="auto" w:fill="002060"/>
          </w:tcPr>
          <w:p w14:paraId="1C44BD35" w14:textId="77777777" w:rsidR="008422E2" w:rsidRPr="00105B8D" w:rsidRDefault="008422E2" w:rsidP="00466061">
            <w:pPr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bCs w:val="0"/>
                <w:sz w:val="24"/>
                <w:szCs w:val="24"/>
              </w:rPr>
              <w:t>Assignment Criteria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bottom w:val="single" w:sz="6" w:space="0" w:color="002060"/>
              <w:right w:val="none" w:sz="0" w:space="0" w:color="auto"/>
            </w:tcBorders>
            <w:shd w:val="clear" w:color="auto" w:fill="002060"/>
          </w:tcPr>
          <w:p w14:paraId="141B6616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Outstanding or Highest Level of Performance</w:t>
            </w:r>
          </w:p>
          <w:p w14:paraId="7A281D93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 </w:t>
            </w:r>
          </w:p>
          <w:p w14:paraId="70038A75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 (92–100%)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single" w:sz="6" w:space="0" w:color="002060"/>
              <w:right w:val="none" w:sz="0" w:space="0" w:color="auto"/>
            </w:tcBorders>
            <w:shd w:val="clear" w:color="auto" w:fill="002060"/>
          </w:tcPr>
          <w:p w14:paraId="52E3A6A9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Very Good or High Level of Performance</w:t>
            </w:r>
          </w:p>
          <w:p w14:paraId="027D7A7D" w14:textId="77777777" w:rsidR="008422E2" w:rsidRPr="00105B8D" w:rsidRDefault="008422E2" w:rsidP="00466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0BFC4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B (84–91%)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single" w:sz="6" w:space="0" w:color="002060"/>
              <w:right w:val="none" w:sz="0" w:space="0" w:color="auto"/>
            </w:tcBorders>
            <w:shd w:val="clear" w:color="auto" w:fill="002060"/>
          </w:tcPr>
          <w:p w14:paraId="3D597814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Competent or Satisfactory Level of Performance</w:t>
            </w:r>
          </w:p>
          <w:p w14:paraId="2C6078C0" w14:textId="77777777" w:rsidR="008422E2" w:rsidRPr="00B82BBF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 C (76–83%)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single" w:sz="6" w:space="0" w:color="002060"/>
              <w:right w:val="thickThinSmallGap" w:sz="12" w:space="0" w:color="auto"/>
            </w:tcBorders>
            <w:shd w:val="clear" w:color="auto" w:fill="002060"/>
          </w:tcPr>
          <w:p w14:paraId="0C051D4B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Poor, Failing or Unsatisfactory Level of Performance</w:t>
            </w:r>
          </w:p>
          <w:p w14:paraId="3B417AEC" w14:textId="77777777" w:rsidR="008422E2" w:rsidRPr="00105B8D" w:rsidRDefault="008422E2" w:rsidP="0046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5B8D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F (0–75%)</w:t>
            </w:r>
          </w:p>
        </w:tc>
      </w:tr>
      <w:tr w:rsidR="008422E2" w:rsidRPr="00EA1294" w14:paraId="71CC7A9D" w14:textId="77777777" w:rsidTr="00D6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6" w:space="0" w:color="002060"/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5262" w14:textId="77777777" w:rsidR="008422E2" w:rsidRPr="00341ACB" w:rsidRDefault="00341ACB" w:rsidP="00466061">
            <w:pPr>
              <w:rPr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341ACB">
              <w:rPr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ETS Assessment Completion</w:t>
            </w:r>
          </w:p>
        </w:tc>
        <w:tc>
          <w:tcPr>
            <w:tcW w:w="2415" w:type="dxa"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D450" w14:textId="77777777" w:rsidR="00D66351" w:rsidRPr="00D66351" w:rsidRDefault="00341ACB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6635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Complete ETS Success Navigator Assessment as assigned by course faculty</w:t>
            </w:r>
            <w:r w:rsidR="00D66351" w:rsidRPr="00D6635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D66351" w:rsidRPr="00D66351">
              <w:rPr>
                <w:rFonts w:asciiTheme="minorHAnsi" w:hAnsiTheme="minorHAnsi" w:cstheme="minorHAnsi"/>
                <w:b/>
                <w:color w:val="002060"/>
                <w:szCs w:val="20"/>
              </w:rPr>
              <w:t>and</w:t>
            </w:r>
            <w:r w:rsidRPr="00D66351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  </w:t>
            </w:r>
          </w:p>
          <w:p w14:paraId="59CD2775" w14:textId="6FC5FB6B" w:rsidR="008422E2" w:rsidRPr="00D66351" w:rsidRDefault="00341ACB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6635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Provide proof of completion.  </w:t>
            </w:r>
          </w:p>
          <w:p w14:paraId="2E6F93A3" w14:textId="77777777" w:rsidR="00341ACB" w:rsidRPr="00341ACB" w:rsidRDefault="00341ACB" w:rsidP="0046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341AC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50 points</w:t>
            </w:r>
          </w:p>
        </w:tc>
        <w:tc>
          <w:tcPr>
            <w:tcW w:w="2160" w:type="dxa"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7FAFC8" w14:textId="77777777" w:rsidR="008422E2" w:rsidRPr="00341ACB" w:rsidRDefault="008422E2" w:rsidP="004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873DCA" w14:textId="77777777" w:rsidR="008422E2" w:rsidRPr="00341ACB" w:rsidRDefault="008422E2" w:rsidP="004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6" w:space="0" w:color="002060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14:paraId="3EECE875" w14:textId="77777777" w:rsidR="00B73AAE" w:rsidRPr="00B73AAE" w:rsidRDefault="00341ACB" w:rsidP="00B73AAE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Fai</w:t>
            </w:r>
            <w:r w:rsidR="00B73AAE"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lure to complete ETS Assessment </w:t>
            </w:r>
            <w:r w:rsidR="00B73AAE" w:rsidRPr="00B73AAE">
              <w:rPr>
                <w:rFonts w:asciiTheme="minorHAnsi" w:hAnsiTheme="minorHAnsi" w:cstheme="minorHAnsi"/>
                <w:b/>
                <w:color w:val="002060"/>
                <w:sz w:val="24"/>
                <w:szCs w:val="20"/>
              </w:rPr>
              <w:t>or</w:t>
            </w:r>
          </w:p>
          <w:p w14:paraId="0C7CD994" w14:textId="360707AD" w:rsidR="00B73AAE" w:rsidRPr="00B73AAE" w:rsidRDefault="00B73AAE" w:rsidP="00B73AAE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Completing the exam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 less than six (6) minutes</w:t>
            </w:r>
            <w:r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(resulting in nullification of the assessment)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B73AAE">
              <w:rPr>
                <w:rFonts w:asciiTheme="minorHAnsi" w:hAnsiTheme="minorHAnsi" w:cstheme="minorHAnsi"/>
                <w:b/>
                <w:color w:val="002060"/>
                <w:sz w:val="24"/>
                <w:szCs w:val="20"/>
              </w:rPr>
              <w:t>or</w:t>
            </w:r>
          </w:p>
          <w:p w14:paraId="2CB3BABD" w14:textId="060417B5" w:rsidR="00B73AAE" w:rsidRPr="00B73AAE" w:rsidRDefault="00B73AAE" w:rsidP="00B73AAE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Selecting too many similar answers in a row</w:t>
            </w:r>
            <w:r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(resulting in nullification of the assessment)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B73AAE">
              <w:rPr>
                <w:rFonts w:asciiTheme="minorHAnsi" w:hAnsiTheme="minorHAnsi" w:cstheme="minorHAnsi"/>
                <w:b/>
                <w:color w:val="002060"/>
                <w:sz w:val="24"/>
                <w:szCs w:val="20"/>
              </w:rPr>
              <w:t>or</w:t>
            </w:r>
          </w:p>
          <w:p w14:paraId="569F9204" w14:textId="2EE118B0" w:rsidR="008E0BA2" w:rsidRPr="00B73AAE" w:rsidRDefault="00B73AAE" w:rsidP="00B73AAE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</w:t>
            </w:r>
            <w:r w:rsidR="00341ACB"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ailure to provide proof to faculty</w:t>
            </w:r>
            <w:r w:rsidR="00B82BBF"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  <w:r w:rsidR="00341ACB" w:rsidRPr="00B73AA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  <w:p w14:paraId="2F0BC68A" w14:textId="77777777" w:rsidR="00341ACB" w:rsidRPr="00341ACB" w:rsidRDefault="00341ACB" w:rsidP="0046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341AC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0 Points</w:t>
            </w:r>
          </w:p>
        </w:tc>
      </w:tr>
      <w:tr w:rsidR="00D66351" w:rsidRPr="00EA1294" w14:paraId="07C3E10E" w14:textId="77777777" w:rsidTr="00D663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14:paraId="053B29B5" w14:textId="76C24984" w:rsidR="00D66351" w:rsidRPr="00341ACB" w:rsidRDefault="00D66351" w:rsidP="00D6635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Attend Coaching Meeting and sign Success Plan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B357B" w14:textId="77777777" w:rsidR="00D66351" w:rsidRPr="00D66351" w:rsidRDefault="00D66351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6635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Attend Coaching Meeting and complete Success Plan</w:t>
            </w:r>
            <w:r w:rsidRPr="00D66351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 and</w:t>
            </w:r>
          </w:p>
          <w:p w14:paraId="758F7224" w14:textId="77777777" w:rsidR="00D66351" w:rsidRPr="00D66351" w:rsidRDefault="00D66351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6635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Provide proof of completion.  </w:t>
            </w:r>
          </w:p>
          <w:p w14:paraId="49BBAE1D" w14:textId="1B1AD3B4" w:rsidR="00D66351" w:rsidRPr="00D66351" w:rsidRDefault="00D66351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6635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50 points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137291" w14:textId="77777777" w:rsidR="00D66351" w:rsidRPr="00341ACB" w:rsidRDefault="00D66351" w:rsidP="00D663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1EEAF5" w14:textId="77777777" w:rsidR="00D66351" w:rsidRPr="00341ACB" w:rsidRDefault="00D66351" w:rsidP="00D663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14:paraId="6F386758" w14:textId="77777777" w:rsidR="00D66351" w:rsidRDefault="00D66351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Failure to attend Coaching Meeting </w:t>
            </w:r>
            <w:r w:rsidRPr="00FD7125">
              <w:rPr>
                <w:rFonts w:asciiTheme="minorHAnsi" w:hAnsiTheme="minorHAnsi" w:cstheme="minorHAnsi"/>
                <w:b/>
                <w:color w:val="002060"/>
                <w:szCs w:val="20"/>
              </w:rPr>
              <w:t>or</w:t>
            </w:r>
          </w:p>
          <w:p w14:paraId="61E19BB2" w14:textId="77777777" w:rsidR="00D66351" w:rsidRPr="00341ACB" w:rsidRDefault="00D66351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 proof of completion provided to faculty. </w:t>
            </w:r>
            <w:r w:rsidRPr="00341AC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  <w:p w14:paraId="4E28A161" w14:textId="271ED7E7" w:rsidR="00D66351" w:rsidRPr="00B73AAE" w:rsidRDefault="00D66351" w:rsidP="00D66351">
            <w:pPr>
              <w:pStyle w:val="ListParagraph"/>
              <w:numPr>
                <w:ilvl w:val="0"/>
                <w:numId w:val="32"/>
              </w:numPr>
              <w:ind w:left="155" w:hanging="2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0</w:t>
            </w:r>
            <w:r w:rsidRPr="00341AC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points</w:t>
            </w:r>
          </w:p>
        </w:tc>
      </w:tr>
      <w:tr w:rsidR="00D66351" w:rsidRPr="00EA1294" w14:paraId="394AA799" w14:textId="77777777" w:rsidTr="00D6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2" w:type="dxa"/>
            <w:gridSpan w:val="5"/>
            <w:tcBorders>
              <w:top w:val="thickThinSmallGap" w:sz="12" w:space="0" w:color="auto"/>
              <w:left w:val="thinThickLargeGap" w:sz="8" w:space="0" w:color="002060"/>
              <w:bottom w:val="thickThinLargeGap" w:sz="8" w:space="0" w:color="002060"/>
              <w:right w:val="thickThinSmallGap" w:sz="12" w:space="0" w:color="auto"/>
            </w:tcBorders>
            <w:shd w:val="clear" w:color="auto" w:fill="002060"/>
          </w:tcPr>
          <w:p w14:paraId="4C88DB1C" w14:textId="46E9F0E1" w:rsidR="00D66351" w:rsidRPr="00105B8D" w:rsidRDefault="00D66351" w:rsidP="0037194D">
            <w:pPr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105B8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Total Points Possible =   </w:t>
            </w:r>
            <w:r w:rsidR="0037194D">
              <w:rPr>
                <w:rFonts w:asciiTheme="minorHAnsi" w:eastAsia="Times New Roman" w:hAnsiTheme="minorHAnsi" w:cstheme="minorHAnsi"/>
                <w:sz w:val="24"/>
                <w:szCs w:val="24"/>
              </w:rPr>
              <w:t>100</w:t>
            </w:r>
            <w:r w:rsidRPr="00105B8D">
              <w:rPr>
                <w:rFonts w:asciiTheme="minorHAnsi" w:eastAsia="Times New Roman" w:hAnsiTheme="minorHAnsi" w:cstheme="minorHAnsi"/>
                <w:sz w:val="24"/>
                <w:szCs w:val="24"/>
              </w:rPr>
              <w:t>points</w:t>
            </w:r>
          </w:p>
        </w:tc>
      </w:tr>
    </w:tbl>
    <w:p w14:paraId="7B1380F8" w14:textId="77777777" w:rsidR="00B82BBF" w:rsidRDefault="00B82BBF" w:rsidP="00466061">
      <w:pPr>
        <w:rPr>
          <w:rFonts w:ascii="Times New Roman" w:eastAsia="Times New Roman" w:hAnsi="Times New Roman"/>
          <w:sz w:val="24"/>
          <w:szCs w:val="24"/>
        </w:rPr>
      </w:pPr>
    </w:p>
    <w:p w14:paraId="2278E55F" w14:textId="77777777" w:rsidR="004D7892" w:rsidRPr="00E13C52" w:rsidRDefault="004D7892" w:rsidP="0051752A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4D7892" w:rsidRPr="00E13C52" w:rsidSect="0051752A">
      <w:footerReference w:type="default" r:id="rId10"/>
      <w:pgSz w:w="12240" w:h="15840"/>
      <w:pgMar w:top="900" w:right="1080" w:bottom="1170" w:left="108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D76EB" w14:textId="77777777" w:rsidR="000F7176" w:rsidRDefault="000F7176" w:rsidP="00487F4B">
      <w:pPr>
        <w:spacing w:after="0"/>
      </w:pPr>
      <w:r>
        <w:separator/>
      </w:r>
    </w:p>
  </w:endnote>
  <w:endnote w:type="continuationSeparator" w:id="0">
    <w:p w14:paraId="3D976890" w14:textId="77777777" w:rsidR="000F7176" w:rsidRDefault="000F7176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47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E02BFB" w14:paraId="246A0B78" w14:textId="77777777" w:rsidTr="00B344D7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14:paraId="343119DC" w14:textId="0C8DCF43" w:rsidR="00E02BFB" w:rsidRPr="00E13C52" w:rsidRDefault="006A503D" w:rsidP="006A503D">
          <w:pPr>
            <w:tabs>
              <w:tab w:val="left" w:pos="1275"/>
            </w:tabs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NR103</w:t>
          </w:r>
          <w:r w:rsidR="00E02BFB">
            <w:rPr>
              <w:rFonts w:asciiTheme="minorHAnsi" w:hAnsiTheme="minorHAnsi" w:cstheme="minorHAnsi"/>
              <w:sz w:val="18"/>
              <w:szCs w:val="18"/>
            </w:rPr>
            <w:t xml:space="preserve"> ETS Assessment/Coaching Assignment Guidelines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3.6.16</w:t>
          </w:r>
          <w:r w:rsidR="00E02BFB" w:rsidRPr="0086430F">
            <w:rPr>
              <w:rFonts w:asciiTheme="minorHAnsi" w:hAnsiTheme="minorHAnsi" w:cstheme="minorHAnsi"/>
              <w:sz w:val="18"/>
              <w:szCs w:val="18"/>
            </w:rPr>
            <w:t>.</w:t>
          </w:r>
          <w:r w:rsidR="00E02BFB">
            <w:rPr>
              <w:rFonts w:asciiTheme="minorHAnsi" w:hAnsiTheme="minorHAnsi" w:cstheme="minorHAnsi"/>
              <w:sz w:val="18"/>
              <w:szCs w:val="18"/>
            </w:rPr>
            <w:t>docx</w:t>
          </w:r>
          <w:r w:rsidR="00E02BFB" w:rsidRPr="0086430F">
            <w:rPr>
              <w:rFonts w:asciiTheme="minorHAnsi" w:hAnsiTheme="minorHAnsi" w:cstheme="minorHAnsi"/>
              <w:sz w:val="18"/>
              <w:szCs w:val="18"/>
            </w:rPr>
            <w:tab/>
            <w:t xml:space="preserve">         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14:paraId="5AB9C93D" w14:textId="77777777" w:rsidR="00E02BFB" w:rsidRDefault="00E02BFB" w:rsidP="00E02BFB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00AF6" w:rsidRPr="00D00AF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346BA10" w14:textId="77777777" w:rsidR="00E02BFB" w:rsidRDefault="00E02B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E02BFB" w14:paraId="0BE2BAF8" w14:textId="77777777" w:rsidTr="003D4F7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14:paraId="1D8681B2" w14:textId="18C810DE" w:rsidR="00E02BFB" w:rsidRPr="006472B3" w:rsidRDefault="00E02BFB" w:rsidP="006A503D">
          <w:pPr>
            <w:pStyle w:val="Footer"/>
            <w:rPr>
              <w:rFonts w:ascii="Times New Roman" w:hAnsi="Times New Roman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NR10</w:t>
          </w:r>
          <w:r w:rsidR="006A503D">
            <w:rPr>
              <w:rFonts w:asciiTheme="minorHAnsi" w:hAnsiTheme="minorHAnsi" w:cstheme="minorHAnsi"/>
              <w:sz w:val="18"/>
              <w:szCs w:val="18"/>
            </w:rPr>
            <w:t>3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ETS Assessment/Coaching Assignment Guidelines</w:t>
          </w:r>
          <w:r w:rsidR="006A503D">
            <w:rPr>
              <w:rFonts w:asciiTheme="minorHAnsi" w:hAnsiTheme="minorHAnsi" w:cstheme="minorHAnsi"/>
              <w:sz w:val="18"/>
              <w:szCs w:val="18"/>
            </w:rPr>
            <w:t xml:space="preserve"> 3.6.16</w:t>
          </w:r>
          <w:r w:rsidRPr="0086430F">
            <w:rPr>
              <w:rFonts w:asciiTheme="minorHAnsi" w:hAnsiTheme="minorHAnsi" w:cstheme="minorHAnsi"/>
              <w:sz w:val="18"/>
              <w:szCs w:val="18"/>
            </w:rPr>
            <w:t>.</w:t>
          </w:r>
          <w:r>
            <w:rPr>
              <w:rFonts w:asciiTheme="minorHAnsi" w:hAnsiTheme="minorHAnsi" w:cstheme="minorHAnsi"/>
              <w:sz w:val="18"/>
              <w:szCs w:val="18"/>
            </w:rPr>
            <w:t>docx</w:t>
          </w:r>
          <w:r w:rsidRPr="0086430F">
            <w:rPr>
              <w:rFonts w:asciiTheme="minorHAnsi" w:hAnsiTheme="minorHAnsi" w:cstheme="minorHAnsi"/>
              <w:sz w:val="18"/>
              <w:szCs w:val="18"/>
            </w:rPr>
            <w:tab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14:paraId="4C2A3FE9" w14:textId="77777777" w:rsidR="00E02BFB" w:rsidRDefault="00E02BFB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00AF6" w:rsidRPr="00D00AF6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42B7019" w14:textId="77777777" w:rsidR="00E02BFB" w:rsidRDefault="00E02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85051" w14:textId="77777777" w:rsidR="000F7176" w:rsidRDefault="000F7176" w:rsidP="00487F4B">
      <w:pPr>
        <w:spacing w:after="0"/>
      </w:pPr>
      <w:r>
        <w:separator/>
      </w:r>
    </w:p>
  </w:footnote>
  <w:footnote w:type="continuationSeparator" w:id="0">
    <w:p w14:paraId="0D9B7D13" w14:textId="77777777" w:rsidR="000F7176" w:rsidRDefault="000F7176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1AB7" w14:textId="77777777" w:rsidR="00D00AF6" w:rsidRDefault="00D00AF6" w:rsidP="00466061">
    <w:pPr>
      <w:pStyle w:val="ChamberlainHeader"/>
      <w:tabs>
        <w:tab w:val="right" w:pos="9270"/>
        <w:tab w:val="right" w:pos="12240"/>
      </w:tabs>
      <w:ind w:left="720"/>
      <w:rPr>
        <w:color w:val="002060"/>
      </w:rPr>
    </w:pPr>
  </w:p>
  <w:p w14:paraId="3DFFF30D" w14:textId="77777777" w:rsidR="00E02BFB" w:rsidRDefault="00E02BFB" w:rsidP="00466061">
    <w:pPr>
      <w:pStyle w:val="ChamberlainHeader"/>
      <w:tabs>
        <w:tab w:val="right" w:pos="9270"/>
        <w:tab w:val="right" w:pos="12240"/>
      </w:tabs>
      <w:ind w:left="720"/>
      <w:rPr>
        <w:color w:val="002060"/>
      </w:rPr>
    </w:pPr>
    <w:r>
      <w:rPr>
        <w:smallCaps w:val="0"/>
        <w:noProof/>
        <w:color w:val="002060"/>
        <w:sz w:val="32"/>
      </w:rPr>
      <w:drawing>
        <wp:anchor distT="0" distB="0" distL="114300" distR="114300" simplePos="0" relativeHeight="251674624" behindDoc="1" locked="0" layoutInCell="1" allowOverlap="1" wp14:anchorId="0E9CAAE0" wp14:editId="2B54067A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7781925" cy="1343660"/>
          <wp:effectExtent l="0" t="0" r="9525" b="8890"/>
          <wp:wrapNone/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060"/>
      </w:rPr>
      <w:tab/>
    </w:r>
    <w:r>
      <w:rPr>
        <w:color w:val="002060"/>
      </w:rPr>
      <w:tab/>
      <w:t xml:space="preserve">     </w:t>
    </w:r>
  </w:p>
  <w:p w14:paraId="1F1C0135" w14:textId="77777777" w:rsidR="00E02BFB" w:rsidRDefault="00E02BFB" w:rsidP="00B82BBF">
    <w:pPr>
      <w:pStyle w:val="ChamberlainHeader"/>
      <w:tabs>
        <w:tab w:val="left" w:pos="915"/>
        <w:tab w:val="right" w:pos="9270"/>
        <w:tab w:val="right" w:pos="12240"/>
      </w:tabs>
      <w:rPr>
        <w:rFonts w:asciiTheme="minorHAnsi" w:hAnsiTheme="minorHAnsi"/>
        <w:color w:val="002060"/>
      </w:rPr>
    </w:pPr>
    <w:r w:rsidRPr="00B82BBF">
      <w:rPr>
        <w:rFonts w:asciiTheme="minorHAnsi" w:hAnsiTheme="minorHAnsi"/>
        <w:color w:val="002060"/>
      </w:rPr>
      <w:t xml:space="preserve">    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color w:val="002060"/>
      </w:rPr>
      <w:t xml:space="preserve">                         </w:t>
    </w:r>
  </w:p>
  <w:p w14:paraId="10670CAC" w14:textId="77777777" w:rsidR="00E02BFB" w:rsidRDefault="00E02BFB" w:rsidP="0084730C">
    <w:pPr>
      <w:pStyle w:val="ChamberlainHeader"/>
      <w:tabs>
        <w:tab w:val="left" w:pos="915"/>
        <w:tab w:val="right" w:pos="9270"/>
        <w:tab w:val="right" w:pos="12240"/>
      </w:tabs>
      <w:jc w:val="right"/>
      <w:rPr>
        <w:rFonts w:asciiTheme="minorHAnsi" w:hAnsiTheme="minorHAnsi"/>
        <w:color w:val="002060"/>
      </w:rPr>
    </w:pPr>
    <w:r>
      <w:rPr>
        <w:rFonts w:asciiTheme="minorHAnsi" w:hAnsiTheme="minorHAnsi"/>
        <w:color w:val="002060"/>
      </w:rPr>
      <w:t xml:space="preserve">   </w:t>
    </w:r>
  </w:p>
  <w:p w14:paraId="5C5DE1B9" w14:textId="2ABB0589" w:rsidR="00E02BFB" w:rsidRPr="00B82BBF" w:rsidRDefault="006A503D" w:rsidP="0084730C">
    <w:pPr>
      <w:pStyle w:val="ChamberlainHeader"/>
      <w:tabs>
        <w:tab w:val="left" w:pos="915"/>
        <w:tab w:val="right" w:pos="9270"/>
        <w:tab w:val="right" w:pos="12240"/>
      </w:tabs>
      <w:spacing w:after="0" w:line="240" w:lineRule="auto"/>
      <w:jc w:val="right"/>
      <w:rPr>
        <w:rFonts w:asciiTheme="minorHAnsi" w:hAnsiTheme="minorHAnsi"/>
        <w:color w:val="002060"/>
      </w:rPr>
    </w:pPr>
    <w:r>
      <w:rPr>
        <w:rFonts w:asciiTheme="minorHAnsi" w:hAnsiTheme="minorHAnsi"/>
        <w:color w:val="002060"/>
        <w:sz w:val="28"/>
        <w:szCs w:val="28"/>
      </w:rPr>
      <w:t>NR 103 Transition to the Nursing Profession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E2C"/>
    <w:multiLevelType w:val="hybridMultilevel"/>
    <w:tmpl w:val="CE6A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7C39"/>
    <w:multiLevelType w:val="hybridMultilevel"/>
    <w:tmpl w:val="F5C4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5" w15:restartNumberingAfterBreak="0">
    <w:nsid w:val="18BF020A"/>
    <w:multiLevelType w:val="hybridMultilevel"/>
    <w:tmpl w:val="EF5A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7" w15:restartNumberingAfterBreak="0">
    <w:nsid w:val="1B595AEE"/>
    <w:multiLevelType w:val="hybridMultilevel"/>
    <w:tmpl w:val="919EFA14"/>
    <w:lvl w:ilvl="0" w:tplc="67CC96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0E661F4"/>
    <w:multiLevelType w:val="hybridMultilevel"/>
    <w:tmpl w:val="3984FF9C"/>
    <w:lvl w:ilvl="0" w:tplc="B55AC93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F72F7"/>
    <w:multiLevelType w:val="hybridMultilevel"/>
    <w:tmpl w:val="9F36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2669F"/>
    <w:multiLevelType w:val="hybridMultilevel"/>
    <w:tmpl w:val="99B67450"/>
    <w:lvl w:ilvl="0" w:tplc="262EF81A">
      <w:start w:val="1"/>
      <w:numFmt w:val="decimal"/>
      <w:lvlText w:val="%1."/>
      <w:lvlJc w:val="left"/>
      <w:pPr>
        <w:ind w:left="1350" w:hanging="360"/>
      </w:pPr>
      <w:rPr>
        <w:rFonts w:ascii="Arial" w:eastAsia="Calibr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B3E01"/>
    <w:multiLevelType w:val="hybridMultilevel"/>
    <w:tmpl w:val="DCAC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6" w15:restartNumberingAfterBreak="0">
    <w:nsid w:val="3F486BC4"/>
    <w:multiLevelType w:val="hybridMultilevel"/>
    <w:tmpl w:val="031E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31624"/>
    <w:multiLevelType w:val="hybridMultilevel"/>
    <w:tmpl w:val="B436EDD2"/>
    <w:lvl w:ilvl="0" w:tplc="E3B41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93C4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76D55"/>
    <w:multiLevelType w:val="hybridMultilevel"/>
    <w:tmpl w:val="381A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D2BC1"/>
    <w:multiLevelType w:val="hybridMultilevel"/>
    <w:tmpl w:val="7754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4" w15:restartNumberingAfterBreak="0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5" w15:restartNumberingAfterBreak="0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31491"/>
    <w:multiLevelType w:val="hybridMultilevel"/>
    <w:tmpl w:val="49909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7769"/>
    <w:multiLevelType w:val="hybridMultilevel"/>
    <w:tmpl w:val="8E92D8FC"/>
    <w:lvl w:ilvl="0" w:tplc="48FC78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9" w15:restartNumberingAfterBreak="0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E01B2"/>
    <w:multiLevelType w:val="hybridMultilevel"/>
    <w:tmpl w:val="0C6C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30"/>
  </w:num>
  <w:num w:numId="5">
    <w:abstractNumId w:val="12"/>
  </w:num>
  <w:num w:numId="6">
    <w:abstractNumId w:val="25"/>
  </w:num>
  <w:num w:numId="7">
    <w:abstractNumId w:val="31"/>
  </w:num>
  <w:num w:numId="8">
    <w:abstractNumId w:val="19"/>
  </w:num>
  <w:num w:numId="9">
    <w:abstractNumId w:val="6"/>
  </w:num>
  <w:num w:numId="10">
    <w:abstractNumId w:val="24"/>
  </w:num>
  <w:num w:numId="11">
    <w:abstractNumId w:val="18"/>
  </w:num>
  <w:num w:numId="12">
    <w:abstractNumId w:val="15"/>
  </w:num>
  <w:num w:numId="13">
    <w:abstractNumId w:val="2"/>
  </w:num>
  <w:num w:numId="14">
    <w:abstractNumId w:val="28"/>
  </w:num>
  <w:num w:numId="15">
    <w:abstractNumId w:val="4"/>
  </w:num>
  <w:num w:numId="16">
    <w:abstractNumId w:val="14"/>
  </w:num>
  <w:num w:numId="17">
    <w:abstractNumId w:val="3"/>
  </w:num>
  <w:num w:numId="18">
    <w:abstractNumId w:val="18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9"/>
  </w:num>
  <w:num w:numId="20">
    <w:abstractNumId w:val="26"/>
  </w:num>
  <w:num w:numId="21">
    <w:abstractNumId w:val="11"/>
  </w:num>
  <w:num w:numId="22">
    <w:abstractNumId w:val="7"/>
  </w:num>
  <w:num w:numId="23">
    <w:abstractNumId w:val="27"/>
  </w:num>
  <w:num w:numId="24">
    <w:abstractNumId w:val="32"/>
  </w:num>
  <w:num w:numId="25">
    <w:abstractNumId w:val="16"/>
  </w:num>
  <w:num w:numId="26">
    <w:abstractNumId w:val="1"/>
  </w:num>
  <w:num w:numId="27">
    <w:abstractNumId w:val="5"/>
  </w:num>
  <w:num w:numId="28">
    <w:abstractNumId w:val="10"/>
  </w:num>
  <w:num w:numId="29">
    <w:abstractNumId w:val="21"/>
  </w:num>
  <w:num w:numId="30">
    <w:abstractNumId w:val="17"/>
  </w:num>
  <w:num w:numId="31">
    <w:abstractNumId w:val="0"/>
  </w:num>
  <w:num w:numId="32">
    <w:abstractNumId w:val="13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19"/>
    <w:rsid w:val="00003C31"/>
    <w:rsid w:val="00005DF6"/>
    <w:rsid w:val="000115BD"/>
    <w:rsid w:val="000215F9"/>
    <w:rsid w:val="0005146F"/>
    <w:rsid w:val="00053AA5"/>
    <w:rsid w:val="000559BD"/>
    <w:rsid w:val="0006222F"/>
    <w:rsid w:val="00077ECD"/>
    <w:rsid w:val="00093596"/>
    <w:rsid w:val="00093FA4"/>
    <w:rsid w:val="000C2674"/>
    <w:rsid w:val="000E3765"/>
    <w:rsid w:val="000E42D4"/>
    <w:rsid w:val="000E4EAA"/>
    <w:rsid w:val="000F7176"/>
    <w:rsid w:val="0010572C"/>
    <w:rsid w:val="00105B8D"/>
    <w:rsid w:val="00106873"/>
    <w:rsid w:val="001131EC"/>
    <w:rsid w:val="0011336D"/>
    <w:rsid w:val="00126B41"/>
    <w:rsid w:val="001343EA"/>
    <w:rsid w:val="00141365"/>
    <w:rsid w:val="001428EA"/>
    <w:rsid w:val="00153037"/>
    <w:rsid w:val="00170B9F"/>
    <w:rsid w:val="0017170B"/>
    <w:rsid w:val="001D4D78"/>
    <w:rsid w:val="001E5B20"/>
    <w:rsid w:val="00201D8B"/>
    <w:rsid w:val="0020332D"/>
    <w:rsid w:val="00204D06"/>
    <w:rsid w:val="00217B8C"/>
    <w:rsid w:val="002238F3"/>
    <w:rsid w:val="00236B44"/>
    <w:rsid w:val="00244C02"/>
    <w:rsid w:val="002553F7"/>
    <w:rsid w:val="002614E6"/>
    <w:rsid w:val="002678AF"/>
    <w:rsid w:val="0028225A"/>
    <w:rsid w:val="00285370"/>
    <w:rsid w:val="00285A8F"/>
    <w:rsid w:val="002A0FCE"/>
    <w:rsid w:val="002A1273"/>
    <w:rsid w:val="002A3DA8"/>
    <w:rsid w:val="002A77BC"/>
    <w:rsid w:val="002D6F6A"/>
    <w:rsid w:val="002E7C5C"/>
    <w:rsid w:val="002F13D5"/>
    <w:rsid w:val="003033AE"/>
    <w:rsid w:val="00316281"/>
    <w:rsid w:val="00323E89"/>
    <w:rsid w:val="00330435"/>
    <w:rsid w:val="003331E0"/>
    <w:rsid w:val="00336C3C"/>
    <w:rsid w:val="00341ACB"/>
    <w:rsid w:val="00341F88"/>
    <w:rsid w:val="0037194D"/>
    <w:rsid w:val="00371B1C"/>
    <w:rsid w:val="00375D90"/>
    <w:rsid w:val="003A4F34"/>
    <w:rsid w:val="003A71B3"/>
    <w:rsid w:val="003B7171"/>
    <w:rsid w:val="003D4F7B"/>
    <w:rsid w:val="003E315F"/>
    <w:rsid w:val="003E617C"/>
    <w:rsid w:val="003F26F7"/>
    <w:rsid w:val="004201BE"/>
    <w:rsid w:val="00421871"/>
    <w:rsid w:val="0042278D"/>
    <w:rsid w:val="00430EDE"/>
    <w:rsid w:val="00432DED"/>
    <w:rsid w:val="004408F6"/>
    <w:rsid w:val="004419C4"/>
    <w:rsid w:val="00443B3E"/>
    <w:rsid w:val="00444A49"/>
    <w:rsid w:val="004576A6"/>
    <w:rsid w:val="00466061"/>
    <w:rsid w:val="00487F4B"/>
    <w:rsid w:val="004B0CBE"/>
    <w:rsid w:val="004B3AB4"/>
    <w:rsid w:val="004D0161"/>
    <w:rsid w:val="004D7892"/>
    <w:rsid w:val="004E6613"/>
    <w:rsid w:val="005078BB"/>
    <w:rsid w:val="005128AA"/>
    <w:rsid w:val="0051752A"/>
    <w:rsid w:val="00523795"/>
    <w:rsid w:val="00525F74"/>
    <w:rsid w:val="00532628"/>
    <w:rsid w:val="00550544"/>
    <w:rsid w:val="00552B7D"/>
    <w:rsid w:val="0056421D"/>
    <w:rsid w:val="005738F5"/>
    <w:rsid w:val="00595A56"/>
    <w:rsid w:val="005978D3"/>
    <w:rsid w:val="005A138B"/>
    <w:rsid w:val="005A3B54"/>
    <w:rsid w:val="005A552E"/>
    <w:rsid w:val="005A60C0"/>
    <w:rsid w:val="005B55D5"/>
    <w:rsid w:val="005C7CF3"/>
    <w:rsid w:val="005E0B11"/>
    <w:rsid w:val="005E16E4"/>
    <w:rsid w:val="005F55BD"/>
    <w:rsid w:val="0060415D"/>
    <w:rsid w:val="0060596B"/>
    <w:rsid w:val="006303A6"/>
    <w:rsid w:val="00635852"/>
    <w:rsid w:val="0063635B"/>
    <w:rsid w:val="00643825"/>
    <w:rsid w:val="006472B3"/>
    <w:rsid w:val="00660C59"/>
    <w:rsid w:val="0069199A"/>
    <w:rsid w:val="006A11C0"/>
    <w:rsid w:val="006A503D"/>
    <w:rsid w:val="006A5165"/>
    <w:rsid w:val="006D0D96"/>
    <w:rsid w:val="006E23D5"/>
    <w:rsid w:val="006E7FC8"/>
    <w:rsid w:val="006F0712"/>
    <w:rsid w:val="006F6FA6"/>
    <w:rsid w:val="00703B8C"/>
    <w:rsid w:val="007201B3"/>
    <w:rsid w:val="007221AF"/>
    <w:rsid w:val="00754C99"/>
    <w:rsid w:val="007A2A70"/>
    <w:rsid w:val="007D2771"/>
    <w:rsid w:val="007E3946"/>
    <w:rsid w:val="007F60BE"/>
    <w:rsid w:val="00800F03"/>
    <w:rsid w:val="00803255"/>
    <w:rsid w:val="0080328C"/>
    <w:rsid w:val="008113C6"/>
    <w:rsid w:val="00827478"/>
    <w:rsid w:val="00835F1B"/>
    <w:rsid w:val="008422E2"/>
    <w:rsid w:val="0084730C"/>
    <w:rsid w:val="00854BE0"/>
    <w:rsid w:val="00860908"/>
    <w:rsid w:val="0086430F"/>
    <w:rsid w:val="008B05F9"/>
    <w:rsid w:val="008B4474"/>
    <w:rsid w:val="008C7293"/>
    <w:rsid w:val="008D029C"/>
    <w:rsid w:val="008D69ED"/>
    <w:rsid w:val="008D6A2A"/>
    <w:rsid w:val="008E0BA2"/>
    <w:rsid w:val="008F345E"/>
    <w:rsid w:val="00915B67"/>
    <w:rsid w:val="00957E0C"/>
    <w:rsid w:val="00960A50"/>
    <w:rsid w:val="00994AE7"/>
    <w:rsid w:val="009B682E"/>
    <w:rsid w:val="009B7F5C"/>
    <w:rsid w:val="009C58F7"/>
    <w:rsid w:val="009D3A9E"/>
    <w:rsid w:val="009E6A93"/>
    <w:rsid w:val="009F22C8"/>
    <w:rsid w:val="009F6219"/>
    <w:rsid w:val="00A06E26"/>
    <w:rsid w:val="00A14C72"/>
    <w:rsid w:val="00A16DA1"/>
    <w:rsid w:val="00A3220D"/>
    <w:rsid w:val="00A433BF"/>
    <w:rsid w:val="00A56A4B"/>
    <w:rsid w:val="00A64B60"/>
    <w:rsid w:val="00A85C13"/>
    <w:rsid w:val="00AA1FCF"/>
    <w:rsid w:val="00AA4E49"/>
    <w:rsid w:val="00AB0A90"/>
    <w:rsid w:val="00AC5EEA"/>
    <w:rsid w:val="00AC7CAE"/>
    <w:rsid w:val="00AD41FC"/>
    <w:rsid w:val="00AE57FC"/>
    <w:rsid w:val="00B02394"/>
    <w:rsid w:val="00B2109C"/>
    <w:rsid w:val="00B344D7"/>
    <w:rsid w:val="00B43BB7"/>
    <w:rsid w:val="00B4700B"/>
    <w:rsid w:val="00B67B3E"/>
    <w:rsid w:val="00B73AAE"/>
    <w:rsid w:val="00B769E7"/>
    <w:rsid w:val="00B76F6F"/>
    <w:rsid w:val="00B82BBF"/>
    <w:rsid w:val="00B91DE0"/>
    <w:rsid w:val="00BB3FBA"/>
    <w:rsid w:val="00BC16C6"/>
    <w:rsid w:val="00BD4DBC"/>
    <w:rsid w:val="00C11813"/>
    <w:rsid w:val="00C12E42"/>
    <w:rsid w:val="00C1371E"/>
    <w:rsid w:val="00C65AC1"/>
    <w:rsid w:val="00C7408C"/>
    <w:rsid w:val="00C80C4F"/>
    <w:rsid w:val="00C81B9F"/>
    <w:rsid w:val="00C9080A"/>
    <w:rsid w:val="00C940CF"/>
    <w:rsid w:val="00CB244C"/>
    <w:rsid w:val="00CB6B70"/>
    <w:rsid w:val="00CD267E"/>
    <w:rsid w:val="00CE513F"/>
    <w:rsid w:val="00CF312E"/>
    <w:rsid w:val="00CF37C7"/>
    <w:rsid w:val="00D00AF6"/>
    <w:rsid w:val="00D2143C"/>
    <w:rsid w:val="00D25E95"/>
    <w:rsid w:val="00D26C84"/>
    <w:rsid w:val="00D33B06"/>
    <w:rsid w:val="00D47210"/>
    <w:rsid w:val="00D51A27"/>
    <w:rsid w:val="00D656AD"/>
    <w:rsid w:val="00D66351"/>
    <w:rsid w:val="00D84C20"/>
    <w:rsid w:val="00D85C1B"/>
    <w:rsid w:val="00DB11F6"/>
    <w:rsid w:val="00DF7DC4"/>
    <w:rsid w:val="00E02BFB"/>
    <w:rsid w:val="00E13B3F"/>
    <w:rsid w:val="00E13C52"/>
    <w:rsid w:val="00E15137"/>
    <w:rsid w:val="00E16418"/>
    <w:rsid w:val="00E16C0D"/>
    <w:rsid w:val="00E1721F"/>
    <w:rsid w:val="00E22035"/>
    <w:rsid w:val="00E4208B"/>
    <w:rsid w:val="00E5136C"/>
    <w:rsid w:val="00E641EB"/>
    <w:rsid w:val="00E83EE4"/>
    <w:rsid w:val="00E93CEA"/>
    <w:rsid w:val="00E957A0"/>
    <w:rsid w:val="00ED43AC"/>
    <w:rsid w:val="00ED683C"/>
    <w:rsid w:val="00EE02A7"/>
    <w:rsid w:val="00F05A65"/>
    <w:rsid w:val="00F10BB5"/>
    <w:rsid w:val="00F21B48"/>
    <w:rsid w:val="00F22F93"/>
    <w:rsid w:val="00F26864"/>
    <w:rsid w:val="00F40419"/>
    <w:rsid w:val="00F40D4F"/>
    <w:rsid w:val="00F43171"/>
    <w:rsid w:val="00F46049"/>
    <w:rsid w:val="00F54FA8"/>
    <w:rsid w:val="00F67C97"/>
    <w:rsid w:val="00F77342"/>
    <w:rsid w:val="00F77AE2"/>
    <w:rsid w:val="00F83427"/>
    <w:rsid w:val="00F8686A"/>
    <w:rsid w:val="00F92065"/>
    <w:rsid w:val="00F953ED"/>
    <w:rsid w:val="00FB02AA"/>
    <w:rsid w:val="00FB04B7"/>
    <w:rsid w:val="00FB36A5"/>
    <w:rsid w:val="00FD7125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67D4"/>
  <w15:docId w15:val="{E38A166D-AE95-445E-924F-43123AF1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572C"/>
    <w:pPr>
      <w:spacing w:after="40"/>
      <w:jc w:val="both"/>
      <w:outlineLvl w:val="0"/>
    </w:pPr>
    <w:rPr>
      <w:rFonts w:asciiTheme="minorHAnsi" w:hAnsiTheme="minorHAnsi" w:cstheme="minorHAnsi"/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72C"/>
    <w:rPr>
      <w:rFonts w:eastAsia="Calibri" w:cstheme="minorHAnsi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39"/>
    <w:rsid w:val="00B82BBF"/>
    <w:pPr>
      <w:spacing w:after="0" w:line="240" w:lineRule="auto"/>
      <w:jc w:val="left"/>
    </w:pPr>
    <w:rPr>
      <w:rFonts w:eastAsia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4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C02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C02"/>
    <w:rPr>
      <w:rFonts w:ascii="Calibri" w:eastAsia="Calibri" w:hAnsi="Calibri" w:cs="Times New Roman"/>
      <w:b/>
      <w:bCs/>
      <w:lang w:bidi="ar-SA"/>
    </w:rPr>
  </w:style>
  <w:style w:type="paragraph" w:styleId="Revision">
    <w:name w:val="Revision"/>
    <w:hidden/>
    <w:uiPriority w:val="99"/>
    <w:semiHidden/>
    <w:rsid w:val="00643825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54B1-7E9B-418A-8011-355BF00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Matye, Sheila Yvonne</cp:lastModifiedBy>
  <cp:revision>2</cp:revision>
  <cp:lastPrinted>2009-12-11T21:02:00Z</cp:lastPrinted>
  <dcterms:created xsi:type="dcterms:W3CDTF">2016-03-15T05:17:00Z</dcterms:created>
  <dcterms:modified xsi:type="dcterms:W3CDTF">2016-03-15T05:17:00Z</dcterms:modified>
</cp:coreProperties>
</file>